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sz w:val="44"/>
          <w:szCs w:val="44"/>
        </w:rPr>
      </w:pPr>
    </w:p>
    <w:p>
      <w:pPr>
        <w:spacing w:line="560" w:lineRule="exact"/>
        <w:ind w:left="0"/>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w:t>
      </w:r>
      <w:r>
        <w:rPr>
          <w:rFonts w:hint="eastAsia" w:ascii="宋体" w:hAnsi="宋体" w:eastAsia="宋体" w:cs="宋体"/>
          <w:b/>
          <w:bCs w:val="0"/>
          <w:color w:val="auto"/>
          <w:sz w:val="44"/>
          <w:szCs w:val="44"/>
          <w:lang w:eastAsia="zh-CN"/>
        </w:rPr>
        <w:t>租赁</w:t>
      </w:r>
      <w:r>
        <w:rPr>
          <w:rFonts w:hint="eastAsia" w:ascii="宋体" w:hAnsi="宋体" w:eastAsia="宋体" w:cs="宋体"/>
          <w:b/>
          <w:bCs w:val="0"/>
          <w:color w:val="auto"/>
          <w:sz w:val="44"/>
          <w:szCs w:val="44"/>
        </w:rPr>
        <w:t>公告</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w:t>
      </w:r>
      <w:r>
        <w:rPr>
          <w:rFonts w:hint="eastAsia" w:ascii="仿宋" w:hAnsi="仿宋" w:eastAsia="仿宋" w:cs="仿宋"/>
          <w:bCs/>
          <w:color w:val="auto"/>
          <w:sz w:val="32"/>
          <w:szCs w:val="32"/>
          <w:highlight w:val="none"/>
          <w:lang w:val="en-US" w:eastAsia="zh-CN"/>
        </w:rPr>
        <w:t>租</w:t>
      </w:r>
      <w:bookmarkStart w:id="0" w:name="_GoBack"/>
      <w:bookmarkEnd w:id="0"/>
      <w:r>
        <w:rPr>
          <w:rFonts w:hint="eastAsia" w:ascii="仿宋" w:hAnsi="仿宋" w:eastAsia="仿宋" w:cs="仿宋"/>
          <w:bCs/>
          <w:color w:val="auto"/>
          <w:sz w:val="32"/>
          <w:szCs w:val="32"/>
          <w:highlight w:val="none"/>
        </w:rPr>
        <w:t>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06</w:t>
      </w:r>
      <w:r>
        <w:rPr>
          <w:rFonts w:hint="eastAsia" w:ascii="仿宋" w:hAnsi="仿宋" w:eastAsia="仿宋" w:cs="仿宋"/>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rPr>
          <w:rFonts w:ascii="宋体" w:hAnsi="宋体" w:eastAsia="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w:t>
      </w:r>
      <w:r>
        <w:rPr>
          <w:rFonts w:hint="eastAsia" w:ascii="仿宋" w:hAnsi="仿宋" w:eastAsia="仿宋" w:cs="仿宋"/>
          <w:color w:val="auto"/>
          <w:sz w:val="32"/>
          <w:szCs w:val="32"/>
          <w:highlight w:val="none"/>
        </w:rPr>
        <w:t>乌海市海南区人民政府</w:t>
      </w:r>
      <w:r>
        <w:rPr>
          <w:rFonts w:hint="eastAsia" w:ascii="仿宋" w:hAnsi="仿宋" w:eastAsia="仿宋" w:cs="FangSong_GB2312"/>
          <w:color w:val="auto"/>
          <w:sz w:val="32"/>
          <w:szCs w:val="32"/>
        </w:rPr>
        <w:t>批准，</w:t>
      </w:r>
      <w:r>
        <w:rPr>
          <w:rFonts w:hint="eastAsia" w:ascii="仿宋" w:hAnsi="仿宋" w:eastAsia="仿宋" w:cs="仿宋"/>
          <w:color w:val="auto"/>
          <w:sz w:val="32"/>
          <w:szCs w:val="32"/>
          <w:highlight w:val="none"/>
        </w:rPr>
        <w:t>乌海市自然资源局海南分局</w:t>
      </w:r>
      <w:r>
        <w:rPr>
          <w:rFonts w:hint="eastAsia" w:ascii="仿宋" w:hAnsi="仿宋" w:eastAsia="仿宋" w:cs="FangSong_GB2312"/>
          <w:color w:val="auto"/>
          <w:sz w:val="32"/>
          <w:szCs w:val="32"/>
        </w:rPr>
        <w:t>以挂牌方式</w:t>
      </w:r>
      <w:r>
        <w:rPr>
          <w:rFonts w:hint="eastAsia" w:ascii="仿宋" w:hAnsi="仿宋" w:eastAsia="仿宋" w:cs="FangSong_GB2312"/>
          <w:color w:val="auto"/>
          <w:sz w:val="32"/>
          <w:szCs w:val="32"/>
          <w:lang w:eastAsia="zh-CN"/>
        </w:rPr>
        <w:t>租赁</w:t>
      </w:r>
      <w:r>
        <w:rPr>
          <w:rFonts w:hint="eastAsia" w:ascii="仿宋" w:hAnsi="仿宋" w:eastAsia="仿宋" w:cs="FangSong_GB2312"/>
          <w:color w:val="auto"/>
          <w:sz w:val="32"/>
          <w:szCs w:val="32"/>
          <w:lang w:val="en-US" w:eastAsia="zh-CN"/>
        </w:rPr>
        <w:t>2</w:t>
      </w:r>
      <w:r>
        <w:rPr>
          <w:rFonts w:hint="eastAsia" w:ascii="仿宋" w:hAnsi="仿宋" w:eastAsia="仿宋" w:cs="FangSong_GB2312"/>
          <w:color w:val="auto"/>
          <w:sz w:val="32"/>
          <w:szCs w:val="32"/>
        </w:rPr>
        <w:t>宗地块的国有建设用地使用权，现将有关事项公告如下：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6"/>
        <w:tblW w:w="107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
        <w:gridCol w:w="675"/>
        <w:gridCol w:w="1620"/>
        <w:gridCol w:w="915"/>
        <w:gridCol w:w="506"/>
        <w:gridCol w:w="555"/>
        <w:gridCol w:w="525"/>
        <w:gridCol w:w="525"/>
        <w:gridCol w:w="630"/>
        <w:gridCol w:w="1084"/>
        <w:gridCol w:w="510"/>
        <w:gridCol w:w="885"/>
        <w:gridCol w:w="870"/>
        <w:gridCol w:w="11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85"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序号</w:t>
            </w:r>
          </w:p>
        </w:tc>
        <w:tc>
          <w:tcPr>
            <w:tcW w:w="675"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编号</w:t>
            </w:r>
          </w:p>
        </w:tc>
        <w:tc>
          <w:tcPr>
            <w:tcW w:w="1620" w:type="dxa"/>
            <w:vMerge w:val="restart"/>
            <w:noWrap w:val="0"/>
            <w:vAlign w:val="center"/>
          </w:tcPr>
          <w:p>
            <w:pPr>
              <w:spacing w:line="30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土地位置</w:t>
            </w:r>
          </w:p>
        </w:tc>
        <w:tc>
          <w:tcPr>
            <w:tcW w:w="915" w:type="dxa"/>
            <w:vMerge w:val="restart"/>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土地面积(m</w:t>
            </w:r>
            <w:r>
              <w:rPr>
                <w:rFonts w:hint="eastAsia" w:ascii="仿宋" w:hAnsi="仿宋" w:eastAsia="仿宋" w:cs="仿宋"/>
                <w:b/>
                <w:bCs/>
                <w:color w:val="auto"/>
                <w:sz w:val="18"/>
                <w:szCs w:val="18"/>
                <w:vertAlign w:val="superscript"/>
              </w:rPr>
              <w:t>2</w:t>
            </w:r>
            <w:r>
              <w:rPr>
                <w:rFonts w:hint="eastAsia" w:ascii="仿宋" w:hAnsi="仿宋" w:eastAsia="仿宋" w:cs="仿宋"/>
                <w:b/>
                <w:bCs/>
                <w:color w:val="auto"/>
                <w:sz w:val="18"/>
                <w:szCs w:val="18"/>
              </w:rPr>
              <w:t>）</w:t>
            </w:r>
          </w:p>
        </w:tc>
        <w:tc>
          <w:tcPr>
            <w:tcW w:w="506" w:type="dxa"/>
            <w:vMerge w:val="restart"/>
            <w:noWrap w:val="0"/>
            <w:vAlign w:val="center"/>
          </w:tcPr>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土地</w:t>
            </w:r>
          </w:p>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用途</w:t>
            </w:r>
          </w:p>
        </w:tc>
        <w:tc>
          <w:tcPr>
            <w:tcW w:w="3319" w:type="dxa"/>
            <w:gridSpan w:val="5"/>
            <w:tcBorders>
              <w:right w:val="single" w:color="auto" w:sz="4" w:space="0"/>
            </w:tcBorders>
            <w:noWrap w:val="0"/>
            <w:vAlign w:val="top"/>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规划指标要求</w:t>
            </w:r>
          </w:p>
        </w:tc>
        <w:tc>
          <w:tcPr>
            <w:tcW w:w="510" w:type="dxa"/>
            <w:vMerge w:val="restart"/>
            <w:tcBorders>
              <w:left w:val="single" w:color="auto" w:sz="4" w:space="0"/>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租赁</w:t>
            </w:r>
          </w:p>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年限（年）</w:t>
            </w:r>
          </w:p>
        </w:tc>
        <w:tc>
          <w:tcPr>
            <w:tcW w:w="885"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起挂价</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870"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保证金</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1132" w:type="dxa"/>
            <w:vMerge w:val="restart"/>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85"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675"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1620" w:type="dxa"/>
            <w:vMerge w:val="continue"/>
            <w:noWrap w:val="0"/>
            <w:vAlign w:val="center"/>
          </w:tcPr>
          <w:p>
            <w:pPr>
              <w:spacing w:line="300" w:lineRule="exact"/>
              <w:ind w:left="0" w:firstLine="0"/>
              <w:jc w:val="center"/>
              <w:rPr>
                <w:rFonts w:hint="eastAsia" w:ascii="仿宋" w:hAnsi="仿宋" w:eastAsia="仿宋" w:cs="仿宋"/>
                <w:color w:val="auto"/>
                <w:sz w:val="18"/>
                <w:szCs w:val="18"/>
              </w:rPr>
            </w:pPr>
          </w:p>
        </w:tc>
        <w:tc>
          <w:tcPr>
            <w:tcW w:w="915" w:type="dxa"/>
            <w:vMerge w:val="continue"/>
            <w:noWrap w:val="0"/>
            <w:vAlign w:val="center"/>
          </w:tcPr>
          <w:p>
            <w:pPr>
              <w:spacing w:line="280" w:lineRule="exact"/>
              <w:ind w:left="0" w:firstLine="0"/>
              <w:jc w:val="center"/>
              <w:rPr>
                <w:rFonts w:hint="eastAsia" w:ascii="仿宋" w:hAnsi="仿宋" w:eastAsia="仿宋" w:cs="仿宋"/>
                <w:b/>
                <w:bCs/>
                <w:color w:val="auto"/>
                <w:sz w:val="18"/>
                <w:szCs w:val="18"/>
              </w:rPr>
            </w:pPr>
          </w:p>
        </w:tc>
        <w:tc>
          <w:tcPr>
            <w:tcW w:w="506" w:type="dxa"/>
            <w:vMerge w:val="continue"/>
            <w:noWrap w:val="0"/>
            <w:vAlign w:val="center"/>
          </w:tcPr>
          <w:p>
            <w:pPr>
              <w:spacing w:line="300" w:lineRule="exact"/>
              <w:ind w:left="0" w:firstLine="0"/>
              <w:jc w:val="center"/>
              <w:rPr>
                <w:rFonts w:hint="eastAsia" w:ascii="仿宋" w:hAnsi="仿宋" w:eastAsia="仿宋" w:cs="仿宋"/>
                <w:color w:val="auto"/>
                <w:sz w:val="18"/>
                <w:szCs w:val="18"/>
                <w:lang w:val="en-US" w:eastAsia="zh-CN"/>
              </w:rPr>
            </w:pPr>
          </w:p>
        </w:tc>
        <w:tc>
          <w:tcPr>
            <w:tcW w:w="555" w:type="dxa"/>
            <w:noWrap w:val="0"/>
            <w:vAlign w:val="center"/>
          </w:tcPr>
          <w:p>
            <w:pPr>
              <w:spacing w:line="24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容积率</w:t>
            </w:r>
          </w:p>
        </w:tc>
        <w:tc>
          <w:tcPr>
            <w:tcW w:w="525" w:type="dxa"/>
            <w:noWrap w:val="0"/>
            <w:vAlign w:val="center"/>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color w:val="auto"/>
                <w:sz w:val="18"/>
                <w:szCs w:val="18"/>
              </w:rPr>
              <w:t>建筑限高</w:t>
            </w:r>
          </w:p>
        </w:tc>
        <w:tc>
          <w:tcPr>
            <w:tcW w:w="525" w:type="dxa"/>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建筑</w:t>
            </w:r>
            <w:r>
              <w:rPr>
                <w:rFonts w:hint="eastAsia" w:ascii="仿宋" w:hAnsi="仿宋" w:eastAsia="仿宋" w:cs="仿宋"/>
                <w:b/>
                <w:bCs/>
                <w:color w:val="auto"/>
                <w:sz w:val="18"/>
                <w:szCs w:val="18"/>
                <w:lang w:val="en-US" w:eastAsia="zh-CN"/>
              </w:rPr>
              <w:t>系数</w:t>
            </w:r>
          </w:p>
        </w:tc>
        <w:tc>
          <w:tcPr>
            <w:tcW w:w="630" w:type="dxa"/>
            <w:tcBorders>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绿地率</w:t>
            </w:r>
          </w:p>
        </w:tc>
        <w:tc>
          <w:tcPr>
            <w:tcW w:w="1084" w:type="dxa"/>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投资强度</w:t>
            </w:r>
          </w:p>
        </w:tc>
        <w:tc>
          <w:tcPr>
            <w:tcW w:w="510" w:type="dxa"/>
            <w:vMerge w:val="continue"/>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rPr>
            </w:pPr>
          </w:p>
        </w:tc>
        <w:tc>
          <w:tcPr>
            <w:tcW w:w="885"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870"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1132" w:type="dxa"/>
            <w:vMerge w:val="continue"/>
            <w:tcBorders>
              <w:left w:val="single" w:color="auto" w:sz="4" w:space="0"/>
              <w:bottom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2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1</w:t>
            </w:r>
          </w:p>
        </w:tc>
        <w:tc>
          <w:tcPr>
            <w:tcW w:w="675" w:type="dxa"/>
            <w:noWrap w:val="0"/>
            <w:vAlign w:val="center"/>
          </w:tcPr>
          <w:p>
            <w:pPr>
              <w:spacing w:line="300" w:lineRule="exact"/>
              <w:ind w:left="0" w:leftChars="0" w:firstLine="0" w:firstLineChars="0"/>
              <w:jc w:val="center"/>
              <w:rPr>
                <w:rFonts w:hint="default"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2024ZC-06-01</w:t>
            </w:r>
          </w:p>
        </w:tc>
        <w:tc>
          <w:tcPr>
            <w:tcW w:w="162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公乌素镇东北侧、109国道南侧</w:t>
            </w:r>
            <w:r>
              <w:rPr>
                <w:rFonts w:hint="eastAsia" w:ascii="仿宋" w:hAnsi="仿宋" w:eastAsia="仿宋" w:cs="仿宋"/>
                <w:color w:val="auto"/>
                <w:kern w:val="2"/>
                <w:sz w:val="18"/>
                <w:szCs w:val="18"/>
                <w:highlight w:val="none"/>
                <w:u w:val="none"/>
                <w:lang w:val="en-US" w:eastAsia="zh-CN" w:bidi="ar-SA"/>
              </w:rPr>
              <w:t>（海南区）</w:t>
            </w:r>
          </w:p>
        </w:tc>
        <w:tc>
          <w:tcPr>
            <w:tcW w:w="91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12860.00</w:t>
            </w:r>
          </w:p>
        </w:tc>
        <w:tc>
          <w:tcPr>
            <w:tcW w:w="506"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55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≥0.5</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≤30米</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≥30%</w:t>
            </w:r>
          </w:p>
        </w:tc>
        <w:tc>
          <w:tcPr>
            <w:tcW w:w="63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≤20%</w:t>
            </w:r>
          </w:p>
        </w:tc>
        <w:tc>
          <w:tcPr>
            <w:tcW w:w="1084"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≥2460万元/公顷</w:t>
            </w:r>
          </w:p>
        </w:tc>
        <w:tc>
          <w:tcPr>
            <w:tcW w:w="51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5</w:t>
            </w:r>
          </w:p>
        </w:tc>
        <w:tc>
          <w:tcPr>
            <w:tcW w:w="8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38.5800</w:t>
            </w:r>
          </w:p>
        </w:tc>
        <w:tc>
          <w:tcPr>
            <w:tcW w:w="87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38.5800</w:t>
            </w:r>
          </w:p>
        </w:tc>
        <w:tc>
          <w:tcPr>
            <w:tcW w:w="1132" w:type="dxa"/>
            <w:vMerge w:val="restart"/>
            <w:noWrap w:val="0"/>
            <w:vAlign w:val="center"/>
          </w:tcPr>
          <w:p>
            <w:pPr>
              <w:spacing w:line="300" w:lineRule="exact"/>
              <w:ind w:left="0" w:leftChars="0" w:firstLine="0" w:firstLineChars="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2</w:t>
            </w:r>
          </w:p>
        </w:tc>
        <w:tc>
          <w:tcPr>
            <w:tcW w:w="675" w:type="dxa"/>
            <w:noWrap w:val="0"/>
            <w:vAlign w:val="center"/>
          </w:tcPr>
          <w:p>
            <w:pPr>
              <w:spacing w:line="300" w:lineRule="exact"/>
              <w:ind w:left="0" w:leftChars="0" w:firstLine="0" w:firstLineChars="0"/>
              <w:jc w:val="center"/>
              <w:rPr>
                <w:rFonts w:hint="default"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2024ZC-06-02</w:t>
            </w:r>
          </w:p>
        </w:tc>
        <w:tc>
          <w:tcPr>
            <w:tcW w:w="162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海南产业园西来峰项目区</w:t>
            </w:r>
            <w:r>
              <w:rPr>
                <w:rFonts w:hint="eastAsia" w:ascii="仿宋" w:hAnsi="仿宋" w:eastAsia="仿宋" w:cs="仿宋"/>
                <w:color w:val="auto"/>
                <w:kern w:val="2"/>
                <w:sz w:val="18"/>
                <w:szCs w:val="18"/>
                <w:highlight w:val="none"/>
                <w:u w:val="none"/>
                <w:lang w:val="en-US" w:eastAsia="zh-CN" w:bidi="ar-SA"/>
              </w:rPr>
              <w:t>（海南区）</w:t>
            </w:r>
          </w:p>
        </w:tc>
        <w:tc>
          <w:tcPr>
            <w:tcW w:w="91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5866.70</w:t>
            </w:r>
          </w:p>
        </w:tc>
        <w:tc>
          <w:tcPr>
            <w:tcW w:w="506"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工业用地</w:t>
            </w:r>
          </w:p>
        </w:tc>
        <w:tc>
          <w:tcPr>
            <w:tcW w:w="55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≥0.</w:t>
            </w:r>
            <w:r>
              <w:rPr>
                <w:rFonts w:hint="eastAsia" w:ascii="仿宋" w:hAnsi="仿宋" w:eastAsia="仿宋" w:cs="仿宋"/>
                <w:color w:val="auto"/>
                <w:kern w:val="2"/>
                <w:sz w:val="18"/>
                <w:szCs w:val="18"/>
                <w:highlight w:val="none"/>
                <w:u w:val="none"/>
                <w:lang w:val="en-US" w:eastAsia="zh-CN" w:bidi="ar-SA"/>
              </w:rPr>
              <w:t>5</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≤30米</w:t>
            </w:r>
          </w:p>
        </w:tc>
        <w:tc>
          <w:tcPr>
            <w:tcW w:w="52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w:t>
            </w:r>
            <w:r>
              <w:rPr>
                <w:rFonts w:hint="eastAsia" w:ascii="仿宋" w:hAnsi="仿宋" w:eastAsia="仿宋" w:cs="仿宋"/>
                <w:color w:val="auto"/>
                <w:kern w:val="2"/>
                <w:sz w:val="18"/>
                <w:szCs w:val="18"/>
                <w:highlight w:val="none"/>
                <w:u w:val="none"/>
                <w:lang w:val="en-US" w:eastAsia="zh-CN" w:bidi="ar-SA"/>
              </w:rPr>
              <w:t>30</w:t>
            </w:r>
            <w:r>
              <w:rPr>
                <w:rFonts w:hint="default" w:ascii="仿宋" w:hAnsi="仿宋" w:eastAsia="仿宋" w:cs="仿宋"/>
                <w:color w:val="auto"/>
                <w:kern w:val="2"/>
                <w:sz w:val="18"/>
                <w:szCs w:val="18"/>
                <w:highlight w:val="none"/>
                <w:u w:val="none"/>
                <w:lang w:val="en-US" w:eastAsia="zh-CN" w:bidi="ar-SA"/>
              </w:rPr>
              <w:t>%</w:t>
            </w:r>
          </w:p>
        </w:tc>
        <w:tc>
          <w:tcPr>
            <w:tcW w:w="63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≤20%</w:t>
            </w:r>
          </w:p>
        </w:tc>
        <w:tc>
          <w:tcPr>
            <w:tcW w:w="1084"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w:t>
            </w:r>
            <w:r>
              <w:rPr>
                <w:rFonts w:hint="eastAsia" w:ascii="仿宋" w:hAnsi="仿宋" w:eastAsia="仿宋" w:cs="仿宋"/>
                <w:color w:val="auto"/>
                <w:kern w:val="2"/>
                <w:sz w:val="18"/>
                <w:szCs w:val="18"/>
                <w:highlight w:val="none"/>
                <w:u w:val="none"/>
                <w:lang w:val="en-US" w:eastAsia="zh-CN" w:bidi="ar-SA"/>
              </w:rPr>
              <w:t>2460</w:t>
            </w:r>
            <w:r>
              <w:rPr>
                <w:rFonts w:hint="default" w:ascii="仿宋" w:hAnsi="仿宋" w:eastAsia="仿宋" w:cs="仿宋"/>
                <w:color w:val="auto"/>
                <w:kern w:val="2"/>
                <w:sz w:val="18"/>
                <w:szCs w:val="18"/>
                <w:highlight w:val="none"/>
                <w:u w:val="none"/>
                <w:lang w:val="en-US" w:eastAsia="zh-CN" w:bidi="ar-SA"/>
              </w:rPr>
              <w:t>万元/公顷</w:t>
            </w:r>
          </w:p>
        </w:tc>
        <w:tc>
          <w:tcPr>
            <w:tcW w:w="51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5</w:t>
            </w:r>
          </w:p>
        </w:tc>
        <w:tc>
          <w:tcPr>
            <w:tcW w:w="8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17.6001</w:t>
            </w:r>
          </w:p>
        </w:tc>
        <w:tc>
          <w:tcPr>
            <w:tcW w:w="87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default" w:ascii="仿宋" w:hAnsi="仿宋" w:eastAsia="仿宋" w:cs="仿宋"/>
                <w:color w:val="auto"/>
                <w:kern w:val="2"/>
                <w:sz w:val="18"/>
                <w:szCs w:val="18"/>
                <w:highlight w:val="none"/>
                <w:u w:val="none"/>
                <w:lang w:val="en-US" w:eastAsia="zh-CN" w:bidi="ar-SA"/>
              </w:rPr>
              <w:t>17.6001</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bl>
    <w:p>
      <w:pPr>
        <w:keepNext w:val="0"/>
        <w:keepLines w:val="0"/>
        <w:pageBreakBefore w:val="0"/>
        <w:widowControl w:val="0"/>
        <w:tabs>
          <w:tab w:val="left" w:pos="7350"/>
        </w:tabs>
        <w:kinsoku/>
        <w:wordWrap/>
        <w:overflowPunct/>
        <w:topLinePunct w:val="0"/>
        <w:autoSpaceDN/>
        <w:bidi w:val="0"/>
        <w:adjustRightInd/>
        <w:snapToGrid/>
        <w:spacing w:line="560" w:lineRule="exact"/>
        <w:ind w:left="0" w:leftChars="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二、中华人民共和国境内外的法人、自然人和其他组织，除法律法规对申请人另有限制外，均可申请参加。本次挂牌不接受联合申请。</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工业项目用地，竞得人在项目审批时，除满足《工业项目建设用地控制指标》的要求外，还必须遵守城市规划、环境保护等法律法规，并符合国家的产业政策。</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房地产开发用地，申请竞买者须提交保证金不属于银行贷款、股东借款、转贷和募集资金的承诺书及商业金融机构的资信证明。</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w:t>
      </w:r>
      <w:r>
        <w:rPr>
          <w:rStyle w:val="18"/>
          <w:rFonts w:hint="eastAsia" w:ascii="仿宋" w:hAnsi="仿宋" w:eastAsia="仿宋" w:cs="仿宋"/>
          <w:b w:val="0"/>
          <w:color w:val="auto"/>
          <w:sz w:val="32"/>
          <w:szCs w:val="32"/>
          <w:shd w:val="clear" w:color="auto" w:fill="FFFFFF"/>
        </w:rPr>
        <w:t>竞价原则</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本次国有建设用地使用权挂牌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按照价高者</w:t>
      </w:r>
      <w:r>
        <w:rPr>
          <w:rFonts w:hint="eastAsia" w:ascii="仿宋" w:hAnsi="仿宋" w:eastAsia="仿宋" w:cs="仿宋"/>
          <w:bCs/>
          <w:color w:val="auto"/>
          <w:sz w:val="32"/>
          <w:szCs w:val="32"/>
        </w:rPr>
        <w:t>得原则确定竞得人。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四、本次挂牌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的公告时间为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日，详细资料和具体要求，以挂</w:t>
      </w:r>
      <w:r>
        <w:rPr>
          <w:rFonts w:hint="eastAsia" w:ascii="仿宋" w:hAnsi="仿宋" w:eastAsia="仿宋" w:cs="仿宋"/>
          <w:color w:val="auto"/>
          <w:sz w:val="32"/>
          <w:szCs w:val="32"/>
        </w:rPr>
        <w:t>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文件</w:t>
      </w:r>
      <w:r>
        <w:rPr>
          <w:rFonts w:hint="eastAsia" w:ascii="仿宋" w:hAnsi="仿宋" w:eastAsia="仿宋" w:cs="仿宋"/>
          <w:color w:val="auto"/>
          <w:sz w:val="32"/>
          <w:szCs w:val="32"/>
          <w:highlight w:val="none"/>
        </w:rPr>
        <w:t>为准。申请人可于202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rPr>
        <w:t>到乌海市公共资源交易中心或登陆网站（http:// zrzy.wuhai.gov.cn/或http://www.whggzy.com）或内蒙古自治区网上交易系统（http://110.16.70.81:8090/trade-engine/trade/index）获取本次挂牌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须知和有关资料（不包括法定节假日）。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五、本次挂牌地点为乌海市公共资源交易中心，</w:t>
      </w:r>
      <w:r>
        <w:rPr>
          <w:rFonts w:hint="eastAsia" w:ascii="仿宋" w:hAnsi="仿宋" w:eastAsia="仿宋" w:cs="仿宋"/>
          <w:color w:val="auto"/>
          <w:sz w:val="32"/>
          <w:szCs w:val="32"/>
          <w:highlight w:val="none"/>
        </w:rPr>
        <w:t>挂牌时间为202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日9：00时至202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rPr>
        <w:t>（不包括法定节假日）。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六、本次土地挂牌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采用网上竞买申请的方式。竞买人在报名期内登录“内蒙古自治区国土资源网上交易系统”使用CA证书获取预申购资源的竞买申请书。</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CA证书的办理流程详见乌海市公共资源交易中心网站办事指南中CA办理指南。</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z w:val="32"/>
          <w:szCs w:val="32"/>
          <w:shd w:val="clear" w:color="auto" w:fill="FFFFFF"/>
        </w:rPr>
        <w:t>竞买保证金缴纳</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16</w:t>
      </w:r>
      <w:r>
        <w:rPr>
          <w:rFonts w:hint="eastAsia" w:ascii="仿宋" w:hAnsi="仿宋" w:eastAsia="仿宋" w:cs="仿宋"/>
          <w:color w:val="auto"/>
          <w:sz w:val="32"/>
          <w:szCs w:val="32"/>
          <w:highlight w:val="none"/>
        </w:rPr>
        <w:t>日16：00时。</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八、确定竞得人的标准和方法</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Cs/>
          <w:color w:val="000000"/>
          <w:sz w:val="32"/>
          <w:szCs w:val="32"/>
        </w:rPr>
      </w:pPr>
      <w:r>
        <w:rPr>
          <w:rFonts w:hint="eastAsia" w:ascii="仿宋" w:hAnsi="仿宋" w:eastAsia="仿宋" w:cs="仿宋"/>
          <w:color w:val="000000"/>
          <w:sz w:val="32"/>
          <w:szCs w:val="32"/>
        </w:rPr>
        <w:t>1、申请人按规定交纳竞买保证金，保证金到账后，内蒙古自治区国土资源网上交易系统自动确定该竞买人的竞买资格，签发相应宗地的《竞买资格确认书》</w:t>
      </w:r>
      <w:r>
        <w:rPr>
          <w:rFonts w:hint="eastAsia" w:ascii="仿宋" w:hAnsi="仿宋" w:eastAsia="仿宋" w:cs="仿宋"/>
          <w:bCs/>
          <w:color w:val="000000"/>
          <w:sz w:val="32"/>
          <w:szCs w:val="32"/>
        </w:rPr>
        <w:t>（以资金划入指定账户为准）。</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2、取得《竞买资格确认书》的竞买人，在网上挂牌期限内，可通过CA证书登录系统后进行有效报价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网上挂牌期限截止时，如果只有一个竞买人报价：设有底价的资源，交易系统判定报价是否低于底价,高于底价且符合其他条件的确定其为预竞得人;低于底价的,挂牌不成交。不设置底价的系统直接确定其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
          <w:color w:val="000000"/>
          <w:sz w:val="32"/>
          <w:szCs w:val="32"/>
        </w:rPr>
      </w:pP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rPr>
        <w:t>网上挂牌期限截止时，无人报价的，挂牌结束，资源不成交。</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九、查询网址：</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中国土地市场网 (http://www.landchina.com)</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乌海市自然资源局（http://zrzy.wuhai.gov.cn/)</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乌海市公共资源交易中心（</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"http://www.whggzy.com"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http://www.whggzy.com</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内蒙古自治区公共资源交易网(</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"http://ggzyjy.nmg.gov.cn/"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http://ggzyjy.nmg.gov.cn/</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479" w:leftChars="228" w:firstLine="160" w:firstLineChars="50"/>
        <w:jc w:val="left"/>
        <w:rPr>
          <w:rFonts w:hint="eastAsia" w:ascii="仿宋" w:hAnsi="仿宋" w:eastAsia="仿宋" w:cs="仿宋"/>
          <w:color w:val="000000"/>
          <w:sz w:val="32"/>
          <w:szCs w:val="32"/>
        </w:rPr>
      </w:pPr>
      <w:r>
        <w:rPr>
          <w:rFonts w:hint="eastAsia" w:ascii="仿宋" w:hAnsi="仿宋" w:eastAsia="仿宋" w:cs="仿宋"/>
          <w:color w:val="000000"/>
          <w:sz w:val="32"/>
          <w:szCs w:val="32"/>
        </w:rPr>
        <w:t>内蒙古自治区自然资源网上交易系统（http://110.16.70.81:8090/trade-engine/trade/index）</w:t>
      </w:r>
    </w:p>
    <w:p>
      <w:pPr>
        <w:keepNext w:val="0"/>
        <w:keepLines w:val="0"/>
        <w:pageBreakBefore w:val="0"/>
        <w:widowControl w:val="0"/>
        <w:kinsoku/>
        <w:wordWrap/>
        <w:overflowPunct/>
        <w:topLinePunct w:val="0"/>
        <w:autoSpaceDN/>
        <w:bidi w:val="0"/>
        <w:adjustRightInd/>
        <w:snapToGrid/>
        <w:spacing w:line="560" w:lineRule="exact"/>
        <w:ind w:left="0"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十、乌海市公共资源交易中心联系人：王工   张工 </w:t>
      </w:r>
    </w:p>
    <w:p>
      <w:pPr>
        <w:keepNext w:val="0"/>
        <w:keepLines w:val="0"/>
        <w:pageBreakBefore w:val="0"/>
        <w:widowControl w:val="0"/>
        <w:kinsoku/>
        <w:wordWrap/>
        <w:overflowPunct/>
        <w:topLinePunct w:val="0"/>
        <w:autoSpaceDN/>
        <w:bidi w:val="0"/>
        <w:adjustRightInd/>
        <w:snapToGrid/>
        <w:spacing w:line="560" w:lineRule="exact"/>
        <w:ind w:left="6380" w:leftChars="600" w:hanging="5120" w:hangingChars="16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乌海市公共资源交易中心联系电话：0473-2999715  0473-2999760</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Fonts w:hint="eastAsia" w:ascii="仿宋" w:hAnsi="仿宋" w:eastAsia="仿宋" w:cs="仿宋"/>
          <w:color w:val="000000"/>
          <w:sz w:val="32"/>
          <w:szCs w:val="32"/>
          <w:lang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000000"/>
          <w:sz w:val="32"/>
          <w:szCs w:val="32"/>
        </w:rPr>
        <w:t>联系人:</w:t>
      </w:r>
      <w:r>
        <w:rPr>
          <w:rFonts w:hint="eastAsia" w:ascii="仿宋" w:hAnsi="仿宋" w:eastAsia="仿宋" w:cs="仿宋"/>
          <w:color w:val="auto"/>
          <w:sz w:val="32"/>
          <w:szCs w:val="32"/>
        </w:rPr>
        <w:t>刘婧</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Style w:val="18"/>
          <w:rFonts w:hint="eastAsia" w:ascii="仿宋" w:hAnsi="仿宋" w:eastAsia="仿宋" w:cs="仿宋"/>
          <w:b w:val="0"/>
          <w:color w:val="000000"/>
          <w:sz w:val="32"/>
          <w:szCs w:val="32"/>
          <w:lang w:val="en-US"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000000"/>
          <w:sz w:val="32"/>
          <w:szCs w:val="32"/>
        </w:rPr>
        <w:t>联系电话:</w:t>
      </w:r>
      <w:r>
        <w:rPr>
          <w:rFonts w:hint="eastAsia" w:ascii="仿宋" w:hAnsi="仿宋" w:eastAsia="仿宋" w:cs="仿宋"/>
          <w:color w:val="auto"/>
          <w:sz w:val="32"/>
          <w:szCs w:val="32"/>
        </w:rPr>
        <w:t>0473-6977506</w:t>
      </w:r>
    </w:p>
    <w:p>
      <w:pPr>
        <w:pStyle w:val="2"/>
        <w:keepNext w:val="0"/>
        <w:keepLines w:val="0"/>
        <w:pageBreakBefore w:val="0"/>
        <w:widowControl w:val="0"/>
        <w:kinsoku/>
        <w:wordWrap/>
        <w:overflowPunct/>
        <w:topLinePunct w:val="0"/>
        <w:autoSpaceDN/>
        <w:bidi w:val="0"/>
        <w:adjustRightInd/>
        <w:snapToGrid/>
        <w:spacing w:line="560" w:lineRule="exact"/>
        <w:ind w:left="0" w:leftChars="0" w:firstLine="0" w:firstLineChars="0"/>
        <w:rPr>
          <w:rFonts w:hint="eastAsia"/>
        </w:rPr>
      </w:pPr>
    </w:p>
    <w:p>
      <w:pPr>
        <w:pStyle w:val="2"/>
        <w:keepNext w:val="0"/>
        <w:keepLines w:val="0"/>
        <w:pageBreakBefore w:val="0"/>
        <w:widowControl w:val="0"/>
        <w:kinsoku/>
        <w:wordWrap/>
        <w:overflowPunct/>
        <w:topLinePunct w:val="0"/>
        <w:autoSpaceDN/>
        <w:bidi w:val="0"/>
        <w:adjustRightInd/>
        <w:snapToGrid/>
        <w:spacing w:line="560" w:lineRule="exact"/>
        <w:rPr>
          <w:rFonts w:hint="eastAsia"/>
        </w:rPr>
      </w:pP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rPr>
        <w:t>乌海</w:t>
      </w:r>
      <w:r>
        <w:rPr>
          <w:rFonts w:hint="eastAsia" w:ascii="仿宋" w:hAnsi="仿宋" w:eastAsia="仿宋" w:cs="仿宋"/>
          <w:color w:val="auto"/>
          <w:sz w:val="32"/>
          <w:szCs w:val="32"/>
          <w:highlight w:val="none"/>
        </w:rPr>
        <w:t>市公共资源交易中心</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s="仿宋"/>
          <w:color w:val="auto"/>
          <w:sz w:val="32"/>
          <w:szCs w:val="32"/>
          <w:highlight w:val="none"/>
        </w:rPr>
        <w:t xml:space="preserve">                               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w:t>
      </w:r>
      <w:r>
        <w:rPr>
          <w:rFonts w:hint="eastAsia" w:ascii="仿宋" w:hAnsi="仿宋" w:eastAsia="仿宋"/>
          <w:color w:val="auto"/>
          <w:sz w:val="32"/>
          <w:szCs w:val="32"/>
          <w:highlight w:val="none"/>
        </w:rPr>
        <w:t xml:space="preserve"> </w:t>
      </w: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hint="eastAsia" w:ascii="宋体" w:hAnsi="宋体" w:eastAsia="宋体" w:cs="宋体"/>
          <w:b/>
          <w:bCs/>
          <w:color w:val="auto"/>
          <w:sz w:val="44"/>
          <w:szCs w:val="44"/>
        </w:rPr>
      </w:pPr>
    </w:p>
    <w:p>
      <w:pPr>
        <w:spacing w:line="538" w:lineRule="exact"/>
        <w:ind w:left="0" w:firstLine="0"/>
        <w:jc w:val="center"/>
        <w:textAlignment w:val="baseline"/>
        <w:rPr>
          <w:rFonts w:hint="eastAsia" w:ascii="宋体" w:hAnsi="宋体" w:eastAsia="宋体" w:cs="宋体"/>
          <w:b/>
          <w:bCs/>
          <w:color w:val="auto"/>
          <w:sz w:val="44"/>
          <w:szCs w:val="44"/>
        </w:rPr>
      </w:pPr>
    </w:p>
    <w:p>
      <w:pPr>
        <w:spacing w:line="538" w:lineRule="exact"/>
        <w:ind w:left="0" w:firstLine="0"/>
        <w:jc w:val="center"/>
        <w:textAlignment w:val="baseline"/>
        <w:rPr>
          <w:rFonts w:hint="eastAsia" w:ascii="宋体" w:hAnsi="宋体" w:eastAsia="宋体" w:cs="宋体"/>
          <w:b/>
          <w:bCs/>
          <w:color w:val="auto"/>
          <w:sz w:val="44"/>
          <w:szCs w:val="44"/>
        </w:rPr>
      </w:pPr>
    </w:p>
    <w:p>
      <w:pPr>
        <w:spacing w:line="538" w:lineRule="exact"/>
        <w:ind w:left="0" w:firstLine="0"/>
        <w:jc w:val="center"/>
        <w:textAlignment w:val="baseline"/>
        <w:rPr>
          <w:rFonts w:hint="eastAsia" w:ascii="宋体" w:hAnsi="宋体" w:eastAsia="宋体" w:cs="宋体"/>
          <w:b/>
          <w:bCs/>
          <w:color w:val="auto"/>
          <w:sz w:val="44"/>
          <w:szCs w:val="44"/>
        </w:rPr>
      </w:pPr>
      <w:r>
        <w:rPr>
          <w:rFonts w:hint="eastAsia" w:ascii="宋体" w:hAnsi="宋体" w:eastAsia="宋体" w:cs="宋体"/>
          <w:b/>
          <w:bCs/>
          <w:color w:val="auto"/>
          <w:sz w:val="44"/>
          <w:szCs w:val="44"/>
        </w:rPr>
        <w:t>乌海市国有建设用地使用权挂牌</w:t>
      </w:r>
      <w:r>
        <w:rPr>
          <w:rFonts w:hint="eastAsia" w:ascii="宋体" w:hAnsi="宋体" w:eastAsia="宋体" w:cs="宋体"/>
          <w:b/>
          <w:bCs/>
          <w:color w:val="auto"/>
          <w:sz w:val="44"/>
          <w:szCs w:val="44"/>
          <w:lang w:eastAsia="zh-CN"/>
        </w:rPr>
        <w:t>租赁</w:t>
      </w:r>
      <w:r>
        <w:rPr>
          <w:rFonts w:hint="eastAsia" w:ascii="宋体" w:hAnsi="宋体" w:eastAsia="宋体" w:cs="宋体"/>
          <w:b/>
          <w:bCs/>
          <w:color w:val="auto"/>
          <w:sz w:val="44"/>
          <w:szCs w:val="44"/>
        </w:rPr>
        <w:t>须知</w:t>
      </w:r>
    </w:p>
    <w:p>
      <w:pPr>
        <w:keepNext w:val="0"/>
        <w:keepLines w:val="0"/>
        <w:pageBreakBefore w:val="0"/>
        <w:tabs>
          <w:tab w:val="left" w:pos="4400"/>
          <w:tab w:val="left" w:pos="460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s="仿宋"/>
          <w:color w:val="auto"/>
          <w:sz w:val="32"/>
          <w:szCs w:val="32"/>
          <w:lang w:eastAsia="zh-CN"/>
        </w:rPr>
        <w:t>海南区</w:t>
      </w:r>
      <w:r>
        <w:rPr>
          <w:rFonts w:hint="eastAsia" w:ascii="仿宋" w:hAnsi="仿宋" w:eastAsia="仿宋" w:cs="仿宋"/>
          <w:color w:val="auto"/>
          <w:sz w:val="32"/>
          <w:szCs w:val="32"/>
        </w:rPr>
        <w:t>人民政府批准，</w:t>
      </w:r>
      <w:r>
        <w:rPr>
          <w:rFonts w:hint="eastAsia" w:ascii="仿宋" w:hAnsi="仿宋" w:eastAsia="仿宋" w:cs="仿宋"/>
          <w:color w:val="auto"/>
          <w:sz w:val="32"/>
          <w:szCs w:val="32"/>
        </w:rPr>
        <w:t>乌海市自然资源局</w:t>
      </w:r>
      <w:r>
        <w:rPr>
          <w:rFonts w:hint="eastAsia" w:ascii="仿宋" w:hAnsi="仿宋" w:eastAsia="仿宋" w:cs="仿宋"/>
          <w:color w:val="auto"/>
          <w:sz w:val="32"/>
          <w:szCs w:val="32"/>
          <w:lang w:val="en-US" w:eastAsia="zh-CN"/>
        </w:rPr>
        <w:t>海南</w:t>
      </w:r>
      <w:r>
        <w:rPr>
          <w:rFonts w:hint="eastAsia" w:ascii="仿宋" w:hAnsi="仿宋" w:eastAsia="仿宋" w:cs="仿宋"/>
          <w:color w:val="auto"/>
          <w:sz w:val="32"/>
          <w:szCs w:val="32"/>
        </w:rPr>
        <w:t>分局以挂牌方式</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宗地块的国有建设用地使用权。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一、本次国有建设用地使用权挂牌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的出</w:t>
      </w:r>
      <w:r>
        <w:rPr>
          <w:rFonts w:hint="eastAsia" w:ascii="仿宋" w:hAnsi="仿宋" w:eastAsia="仿宋" w:cs="仿宋"/>
          <w:color w:val="auto"/>
          <w:sz w:val="32"/>
          <w:szCs w:val="32"/>
          <w:lang w:eastAsia="zh-CN"/>
        </w:rPr>
        <w:t>租</w:t>
      </w:r>
      <w:r>
        <w:rPr>
          <w:rFonts w:hint="eastAsia" w:ascii="仿宋" w:hAnsi="仿宋" w:eastAsia="仿宋" w:cs="仿宋"/>
          <w:color w:val="auto"/>
          <w:sz w:val="32"/>
          <w:szCs w:val="32"/>
        </w:rPr>
        <w:t>人为乌海市自然资源局</w:t>
      </w:r>
      <w:r>
        <w:rPr>
          <w:rFonts w:hint="eastAsia" w:ascii="仿宋" w:hAnsi="仿宋" w:eastAsia="仿宋" w:cs="仿宋"/>
          <w:color w:val="auto"/>
          <w:sz w:val="32"/>
          <w:szCs w:val="32"/>
          <w:lang w:val="en-US" w:eastAsia="zh-CN"/>
        </w:rPr>
        <w:t>海南</w:t>
      </w:r>
      <w:r>
        <w:rPr>
          <w:rFonts w:hint="eastAsia" w:ascii="仿宋" w:hAnsi="仿宋" w:eastAsia="仿宋" w:cs="仿宋"/>
          <w:color w:val="auto"/>
          <w:sz w:val="32"/>
          <w:szCs w:val="32"/>
        </w:rPr>
        <w:t>分局，具体组织实施由乌海市公共资源交易中心负责。</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二、本次国有建设用地使用权挂牌</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遵循公开、公平、公正和诚实信用的原则。</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地块的基本情况及规划指标要求等：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b/>
          <w:color w:val="auto"/>
          <w:sz w:val="32"/>
          <w:szCs w:val="32"/>
        </w:rPr>
      </w:pPr>
      <w:r>
        <w:rPr>
          <w:rFonts w:hint="eastAsia" w:ascii="仿宋" w:hAnsi="仿宋" w:eastAsia="仿宋" w:cs="仿宋"/>
          <w:b/>
          <w:color w:val="auto"/>
          <w:sz w:val="32"/>
          <w:szCs w:val="32"/>
        </w:rPr>
        <w:t>一号地块</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（一）地块位置：</w:t>
      </w:r>
      <w:r>
        <w:rPr>
          <w:rFonts w:hint="eastAsia" w:ascii="仿宋" w:hAnsi="仿宋" w:eastAsia="仿宋" w:cs="仿宋"/>
          <w:color w:val="auto"/>
          <w:sz w:val="32"/>
          <w:szCs w:val="32"/>
          <w:highlight w:val="none"/>
          <w:lang w:val="en-US" w:eastAsia="zh-CN"/>
        </w:rPr>
        <w:t>公乌素镇东北侧、109国道南侧</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（二）租赁面积：</w:t>
      </w:r>
      <w:r>
        <w:rPr>
          <w:rFonts w:hint="eastAsia" w:ascii="仿宋" w:hAnsi="仿宋" w:eastAsia="仿宋" w:cs="仿宋"/>
          <w:color w:val="auto"/>
          <w:sz w:val="32"/>
          <w:szCs w:val="32"/>
          <w:highlight w:val="none"/>
          <w:lang w:val="en-US" w:eastAsia="zh-CN"/>
        </w:rPr>
        <w:t>12860.00平方米</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（三）土地用途：工业用地</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（四）使用年期：5年</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（五）建设时间：</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合同约定的动工开发期限内动工，两年内建设完成；</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（六）规划用地性质：</w:t>
      </w:r>
      <w:r>
        <w:rPr>
          <w:rFonts w:hint="eastAsia" w:ascii="仿宋" w:hAnsi="仿宋" w:eastAsia="仿宋" w:cs="仿宋"/>
          <w:color w:val="auto"/>
          <w:sz w:val="32"/>
          <w:szCs w:val="32"/>
          <w:lang w:val="en-US" w:eastAsia="zh-CN"/>
        </w:rPr>
        <w:t>工业用地</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（七）投资强度：≥2460万元/公顷</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容积率：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绿地率：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（十一）建筑限高：≤30米</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建筑物退让：建</w:t>
      </w:r>
      <w:r>
        <w:rPr>
          <w:rFonts w:hint="eastAsia" w:ascii="仿宋" w:hAnsi="仿宋" w:eastAsia="仿宋" w:cs="仿宋"/>
          <w:color w:val="auto"/>
          <w:sz w:val="32"/>
          <w:szCs w:val="32"/>
          <w:lang w:eastAsia="zh-CN"/>
        </w:rPr>
        <w:t>（构）</w:t>
      </w:r>
      <w:r>
        <w:rPr>
          <w:rFonts w:hint="eastAsia" w:ascii="仿宋" w:hAnsi="仿宋" w:eastAsia="仿宋" w:cs="仿宋"/>
          <w:color w:val="auto"/>
          <w:sz w:val="32"/>
          <w:szCs w:val="32"/>
        </w:rPr>
        <w:t>筑</w:t>
      </w:r>
      <w:r>
        <w:rPr>
          <w:rFonts w:hint="eastAsia" w:ascii="仿宋" w:hAnsi="仿宋" w:eastAsia="仿宋" w:cs="仿宋"/>
          <w:color w:val="auto"/>
          <w:sz w:val="32"/>
          <w:szCs w:val="32"/>
          <w:lang w:eastAsia="zh-CN"/>
        </w:rPr>
        <w:t>退让</w:t>
      </w:r>
      <w:r>
        <w:rPr>
          <w:rFonts w:hint="eastAsia" w:ascii="仿宋" w:hAnsi="仿宋" w:eastAsia="仿宋" w:cs="仿宋"/>
          <w:color w:val="auto"/>
          <w:sz w:val="32"/>
          <w:szCs w:val="32"/>
        </w:rPr>
        <w:t>须满足人防、抗震、</w:t>
      </w:r>
      <w:r>
        <w:rPr>
          <w:rFonts w:hint="eastAsia" w:ascii="仿宋" w:hAnsi="仿宋" w:eastAsia="仿宋" w:cs="仿宋"/>
          <w:color w:val="auto"/>
          <w:sz w:val="32"/>
          <w:szCs w:val="32"/>
          <w:lang w:eastAsia="zh-CN"/>
        </w:rPr>
        <w:t>公路</w:t>
      </w:r>
      <w:r>
        <w:rPr>
          <w:rFonts w:hint="eastAsia" w:ascii="仿宋" w:hAnsi="仿宋" w:eastAsia="仿宋" w:cs="仿宋"/>
          <w:color w:val="auto"/>
          <w:sz w:val="32"/>
          <w:szCs w:val="32"/>
        </w:rPr>
        <w:t>、环保、电力、消防、水利等相关规范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了解项目用地地下情况，确保建设项目避开断裂带及采空区。</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（十三）</w:t>
      </w:r>
      <w:r>
        <w:rPr>
          <w:rFonts w:hint="eastAsia" w:ascii="仿宋" w:hAnsi="仿宋" w:eastAsia="仿宋" w:cs="仿宋"/>
          <w:color w:val="auto"/>
          <w:sz w:val="32"/>
          <w:szCs w:val="32"/>
          <w:highlight w:val="none"/>
          <w:u w:val="none"/>
        </w:rPr>
        <w:t>该地块现状为</w:t>
      </w:r>
      <w:r>
        <w:rPr>
          <w:rFonts w:hint="eastAsia" w:ascii="仿宋" w:hAnsi="仿宋" w:eastAsia="仿宋" w:cs="仿宋"/>
          <w:color w:val="auto"/>
          <w:sz w:val="32"/>
          <w:szCs w:val="32"/>
          <w:highlight w:val="none"/>
          <w:lang w:val="en-US" w:eastAsia="zh-CN"/>
        </w:rPr>
        <w:t>公乌素镇东北侧、109国道南侧</w:t>
      </w:r>
      <w:r>
        <w:rPr>
          <w:rFonts w:hint="eastAsia" w:ascii="仿宋" w:hAnsi="仿宋" w:eastAsia="仿宋" w:cs="仿宋"/>
          <w:color w:val="auto"/>
          <w:sz w:val="32"/>
          <w:szCs w:val="32"/>
          <w:highlight w:val="none"/>
          <w:u w:val="none"/>
          <w:lang w:val="en-US" w:eastAsia="zh-CN"/>
        </w:rPr>
        <w:t>地块，</w:t>
      </w:r>
      <w:r>
        <w:rPr>
          <w:rFonts w:hint="eastAsia" w:ascii="仿宋" w:hAnsi="仿宋" w:eastAsia="仿宋" w:cs="仿宋"/>
          <w:color w:val="auto"/>
          <w:sz w:val="32"/>
          <w:szCs w:val="32"/>
          <w:highlight w:val="none"/>
          <w:u w:val="none"/>
        </w:rPr>
        <w:t>地上建筑物由竞得人自行解决</w:t>
      </w:r>
      <w:r>
        <w:rPr>
          <w:rFonts w:hint="eastAsia" w:ascii="仿宋" w:hAnsi="仿宋" w:eastAsia="仿宋" w:cs="仿宋"/>
          <w:color w:val="auto"/>
          <w:sz w:val="32"/>
          <w:szCs w:val="32"/>
          <w:highlight w:val="none"/>
          <w:u w:val="none"/>
          <w:lang w:eastAsia="zh-CN"/>
        </w:rPr>
        <w:t>。该租赁地块范围内如有树</w:t>
      </w:r>
      <w:r>
        <w:rPr>
          <w:rFonts w:hint="eastAsia" w:ascii="仿宋" w:hAnsi="仿宋" w:eastAsia="仿宋" w:cs="仿宋"/>
          <w:color w:val="auto"/>
          <w:sz w:val="32"/>
          <w:szCs w:val="32"/>
          <w:highlight w:val="none"/>
          <w:u w:val="none"/>
        </w:rPr>
        <w:t>木、供电、市政设施等，</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人可结合规划设计方案保留，对不需要保留的，由</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人自行与有关部门解决，并承担所需费用。如需要考古或地下有构筑物、其他设施等，由</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人自行与有关部门协商解决，并承担所需费用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地块的空间范围须符合城市规划管理的有关要求</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（十五）</w:t>
      </w:r>
      <w:r>
        <w:rPr>
          <w:rFonts w:hint="eastAsia" w:ascii="仿宋" w:hAnsi="仿宋" w:eastAsia="仿宋" w:cs="仿宋"/>
          <w:color w:val="auto"/>
          <w:sz w:val="32"/>
          <w:szCs w:val="32"/>
        </w:rPr>
        <w:t>其他要求：</w:t>
      </w:r>
      <w:r>
        <w:rPr>
          <w:rFonts w:hint="eastAsia" w:ascii="仿宋" w:hAnsi="仿宋" w:eastAsia="仿宋" w:cs="仿宋"/>
          <w:color w:val="auto"/>
          <w:sz w:val="32"/>
          <w:szCs w:val="32"/>
          <w:highlight w:val="none"/>
          <w:u w:val="none"/>
          <w:lang w:eastAsia="zh-CN"/>
        </w:rPr>
        <w:t>租赁</w:t>
      </w:r>
      <w:r>
        <w:rPr>
          <w:rFonts w:hint="eastAsia" w:ascii="仿宋" w:hAnsi="仿宋" w:eastAsia="仿宋" w:cs="仿宋"/>
          <w:color w:val="auto"/>
          <w:sz w:val="32"/>
          <w:szCs w:val="32"/>
          <w:highlight w:val="none"/>
          <w:u w:val="none"/>
        </w:rPr>
        <w:t>地块建设必须严格按照《内蒙古自治区建设用地规划条件书》条字第15030320</w:t>
      </w:r>
      <w:r>
        <w:rPr>
          <w:rFonts w:hint="eastAsia" w:ascii="仿宋" w:hAnsi="仿宋" w:eastAsia="仿宋" w:cs="仿宋"/>
          <w:color w:val="auto"/>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53</w:t>
      </w:r>
      <w:r>
        <w:rPr>
          <w:rFonts w:hint="eastAsia" w:ascii="仿宋" w:hAnsi="仿宋" w:eastAsia="仿宋" w:cs="仿宋"/>
          <w:color w:val="auto"/>
          <w:sz w:val="32"/>
          <w:szCs w:val="32"/>
          <w:highlight w:val="none"/>
          <w:u w:val="none"/>
        </w:rPr>
        <w:t>号的有关要求进行</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号地块</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（一）地块位置：</w:t>
      </w:r>
      <w:r>
        <w:rPr>
          <w:rFonts w:hint="eastAsia" w:ascii="仿宋" w:hAnsi="仿宋" w:eastAsia="仿宋" w:cs="仿宋"/>
          <w:color w:val="auto"/>
          <w:sz w:val="32"/>
          <w:szCs w:val="32"/>
          <w:highlight w:val="none"/>
          <w:lang w:val="en-US" w:eastAsia="zh-CN"/>
        </w:rPr>
        <w:t>海南产业园西来峰项目区</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（二）租赁面积：</w:t>
      </w:r>
      <w:r>
        <w:rPr>
          <w:rFonts w:hint="eastAsia" w:ascii="仿宋" w:hAnsi="仿宋" w:eastAsia="仿宋" w:cs="仿宋"/>
          <w:color w:val="auto"/>
          <w:sz w:val="32"/>
          <w:szCs w:val="32"/>
          <w:highlight w:val="none"/>
          <w:lang w:val="en-US" w:eastAsia="zh-CN"/>
        </w:rPr>
        <w:t>5866.70平方米</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（三）土地用途：工业用地</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（四）使用年期：5年</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（五）建设时间：</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合同约定的动工开发期限内动工，两年内建设完成；</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（六）规划用地性质：</w:t>
      </w:r>
      <w:r>
        <w:rPr>
          <w:rFonts w:hint="eastAsia" w:ascii="仿宋" w:hAnsi="仿宋" w:eastAsia="仿宋" w:cs="仿宋"/>
          <w:color w:val="auto"/>
          <w:sz w:val="32"/>
          <w:szCs w:val="32"/>
          <w:lang w:val="en-US" w:eastAsia="zh-CN"/>
        </w:rPr>
        <w:t>工业用地</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（七）投资强度：≥2460万元/公顷</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容积率：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绿地率：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（十一）建筑限高：≤30米</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建筑物退让：建</w:t>
      </w:r>
      <w:r>
        <w:rPr>
          <w:rFonts w:hint="eastAsia" w:ascii="仿宋" w:hAnsi="仿宋" w:eastAsia="仿宋" w:cs="仿宋"/>
          <w:color w:val="auto"/>
          <w:sz w:val="32"/>
          <w:szCs w:val="32"/>
          <w:lang w:eastAsia="zh-CN"/>
        </w:rPr>
        <w:t>（构）</w:t>
      </w:r>
      <w:r>
        <w:rPr>
          <w:rFonts w:hint="eastAsia" w:ascii="仿宋" w:hAnsi="仿宋" w:eastAsia="仿宋" w:cs="仿宋"/>
          <w:color w:val="auto"/>
          <w:sz w:val="32"/>
          <w:szCs w:val="32"/>
        </w:rPr>
        <w:t>筑</w:t>
      </w:r>
      <w:r>
        <w:rPr>
          <w:rFonts w:hint="eastAsia" w:ascii="仿宋" w:hAnsi="仿宋" w:eastAsia="仿宋" w:cs="仿宋"/>
          <w:color w:val="auto"/>
          <w:sz w:val="32"/>
          <w:szCs w:val="32"/>
          <w:lang w:eastAsia="zh-CN"/>
        </w:rPr>
        <w:t>退让</w:t>
      </w:r>
      <w:r>
        <w:rPr>
          <w:rFonts w:hint="eastAsia" w:ascii="仿宋" w:hAnsi="仿宋" w:eastAsia="仿宋" w:cs="仿宋"/>
          <w:color w:val="auto"/>
          <w:sz w:val="32"/>
          <w:szCs w:val="32"/>
        </w:rPr>
        <w:t>须满足人防、抗震、</w:t>
      </w:r>
      <w:r>
        <w:rPr>
          <w:rFonts w:hint="eastAsia" w:ascii="仿宋" w:hAnsi="仿宋" w:eastAsia="仿宋" w:cs="仿宋"/>
          <w:color w:val="auto"/>
          <w:sz w:val="32"/>
          <w:szCs w:val="32"/>
          <w:lang w:eastAsia="zh-CN"/>
        </w:rPr>
        <w:t>公路</w:t>
      </w:r>
      <w:r>
        <w:rPr>
          <w:rFonts w:hint="eastAsia" w:ascii="仿宋" w:hAnsi="仿宋" w:eastAsia="仿宋" w:cs="仿宋"/>
          <w:color w:val="auto"/>
          <w:sz w:val="32"/>
          <w:szCs w:val="32"/>
        </w:rPr>
        <w:t>、环保、电力、消防、水利等相关规范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了解项目用地地下情况，确保建设项目避开断裂带及采空区。</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（十三）</w:t>
      </w:r>
      <w:r>
        <w:rPr>
          <w:rFonts w:hint="eastAsia" w:ascii="仿宋" w:hAnsi="仿宋" w:eastAsia="仿宋" w:cs="仿宋"/>
          <w:color w:val="auto"/>
          <w:sz w:val="32"/>
          <w:szCs w:val="32"/>
          <w:highlight w:val="none"/>
          <w:u w:val="none"/>
        </w:rPr>
        <w:t>该地块现状为</w:t>
      </w:r>
      <w:r>
        <w:rPr>
          <w:rFonts w:hint="eastAsia" w:ascii="仿宋" w:hAnsi="仿宋" w:eastAsia="仿宋" w:cs="仿宋"/>
          <w:color w:val="auto"/>
          <w:sz w:val="32"/>
          <w:szCs w:val="32"/>
          <w:highlight w:val="none"/>
          <w:lang w:val="en-US" w:eastAsia="zh-CN"/>
        </w:rPr>
        <w:t>海南产业园西来峰项目区</w:t>
      </w:r>
      <w:r>
        <w:rPr>
          <w:rFonts w:hint="eastAsia" w:ascii="仿宋" w:hAnsi="仿宋" w:eastAsia="仿宋" w:cs="仿宋"/>
          <w:color w:val="auto"/>
          <w:sz w:val="32"/>
          <w:szCs w:val="32"/>
          <w:highlight w:val="none"/>
          <w:u w:val="none"/>
          <w:lang w:val="en-US" w:eastAsia="zh-CN"/>
        </w:rPr>
        <w:t>地块，</w:t>
      </w:r>
      <w:r>
        <w:rPr>
          <w:rFonts w:hint="eastAsia" w:ascii="仿宋" w:hAnsi="仿宋" w:eastAsia="仿宋" w:cs="仿宋"/>
          <w:color w:val="auto"/>
          <w:sz w:val="32"/>
          <w:szCs w:val="32"/>
          <w:highlight w:val="none"/>
          <w:u w:val="none"/>
        </w:rPr>
        <w:t>地上建筑物由竞得人自行解决</w:t>
      </w:r>
      <w:r>
        <w:rPr>
          <w:rFonts w:hint="eastAsia" w:ascii="仿宋" w:hAnsi="仿宋" w:eastAsia="仿宋" w:cs="仿宋"/>
          <w:color w:val="auto"/>
          <w:sz w:val="32"/>
          <w:szCs w:val="32"/>
          <w:highlight w:val="none"/>
          <w:u w:val="none"/>
          <w:lang w:eastAsia="zh-CN"/>
        </w:rPr>
        <w:t>。该租赁地块范围内如有树</w:t>
      </w:r>
      <w:r>
        <w:rPr>
          <w:rFonts w:hint="eastAsia" w:ascii="仿宋" w:hAnsi="仿宋" w:eastAsia="仿宋" w:cs="仿宋"/>
          <w:color w:val="auto"/>
          <w:sz w:val="32"/>
          <w:szCs w:val="32"/>
          <w:highlight w:val="none"/>
          <w:u w:val="none"/>
        </w:rPr>
        <w:t>木、供电、市政设施等，</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人可结合规划设计方案保留，对不需要保留的，由</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人自行与有关部门解决，并承担所需费用。如需要考古或地下有构筑物、其他设施等，由</w:t>
      </w:r>
      <w:r>
        <w:rPr>
          <w:rFonts w:hint="eastAsia" w:ascii="仿宋" w:hAnsi="仿宋" w:eastAsia="仿宋" w:cs="仿宋"/>
          <w:color w:val="auto"/>
          <w:sz w:val="32"/>
          <w:szCs w:val="32"/>
          <w:highlight w:val="none"/>
          <w:u w:val="none"/>
          <w:lang w:eastAsia="zh-CN"/>
        </w:rPr>
        <w:t>承租</w:t>
      </w:r>
      <w:r>
        <w:rPr>
          <w:rFonts w:hint="eastAsia" w:ascii="仿宋" w:hAnsi="仿宋" w:eastAsia="仿宋" w:cs="仿宋"/>
          <w:color w:val="auto"/>
          <w:sz w:val="32"/>
          <w:szCs w:val="32"/>
          <w:highlight w:val="none"/>
          <w:u w:val="none"/>
        </w:rPr>
        <w:t>人自行与有关部门协商解决，并承担所需费用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租赁</w:t>
      </w:r>
      <w:r>
        <w:rPr>
          <w:rFonts w:hint="eastAsia" w:ascii="仿宋" w:hAnsi="仿宋" w:eastAsia="仿宋" w:cs="仿宋"/>
          <w:color w:val="auto"/>
          <w:sz w:val="32"/>
          <w:szCs w:val="32"/>
        </w:rPr>
        <w:t>地块的空间范围须符合城市规划管理的有关要求</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（十五）</w:t>
      </w:r>
      <w:r>
        <w:rPr>
          <w:rFonts w:hint="eastAsia" w:ascii="仿宋" w:hAnsi="仿宋" w:eastAsia="仿宋" w:cs="仿宋"/>
          <w:color w:val="auto"/>
          <w:sz w:val="32"/>
          <w:szCs w:val="32"/>
        </w:rPr>
        <w:t>其他要求：</w:t>
      </w:r>
      <w:r>
        <w:rPr>
          <w:rFonts w:hint="eastAsia" w:ascii="仿宋" w:hAnsi="仿宋" w:eastAsia="仿宋" w:cs="仿宋"/>
          <w:color w:val="auto"/>
          <w:sz w:val="32"/>
          <w:szCs w:val="32"/>
          <w:highlight w:val="none"/>
          <w:u w:val="none"/>
          <w:lang w:eastAsia="zh-CN"/>
        </w:rPr>
        <w:t>租赁</w:t>
      </w:r>
      <w:r>
        <w:rPr>
          <w:rFonts w:hint="eastAsia" w:ascii="仿宋" w:hAnsi="仿宋" w:eastAsia="仿宋" w:cs="仿宋"/>
          <w:color w:val="auto"/>
          <w:sz w:val="32"/>
          <w:szCs w:val="32"/>
          <w:highlight w:val="none"/>
          <w:u w:val="none"/>
        </w:rPr>
        <w:t>地块建设必须严格按照《内蒙古自治区建设用地规划条件书》条字第15030320</w:t>
      </w:r>
      <w:r>
        <w:rPr>
          <w:rFonts w:hint="eastAsia" w:ascii="仿宋" w:hAnsi="仿宋" w:eastAsia="仿宋" w:cs="仿宋"/>
          <w:color w:val="auto"/>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55</w:t>
      </w:r>
      <w:r>
        <w:rPr>
          <w:rFonts w:hint="eastAsia" w:ascii="仿宋" w:hAnsi="仿宋" w:eastAsia="仿宋" w:cs="仿宋"/>
          <w:color w:val="auto"/>
          <w:sz w:val="32"/>
          <w:szCs w:val="32"/>
          <w:highlight w:val="none"/>
          <w:u w:val="none"/>
        </w:rPr>
        <w:t>号的有关要求进行</w:t>
      </w:r>
      <w:r>
        <w:rPr>
          <w:rFonts w:hint="eastAsia" w:ascii="仿宋" w:hAnsi="仿宋" w:eastAsia="仿宋" w:cs="仿宋"/>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四、竞买资格及要求</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日16：00时。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竞买保证金及增价幅度</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地块一：</w:t>
      </w:r>
      <w:r>
        <w:rPr>
          <w:rFonts w:hint="eastAsia" w:ascii="仿宋" w:hAnsi="仿宋" w:eastAsia="仿宋" w:cs="仿宋"/>
          <w:color w:val="auto"/>
          <w:sz w:val="32"/>
          <w:szCs w:val="32"/>
          <w:highlight w:val="none"/>
        </w:rPr>
        <w:t>宗地的挂牌起始价</w:t>
      </w:r>
      <w:r>
        <w:rPr>
          <w:rFonts w:hint="eastAsia" w:ascii="仿宋" w:hAnsi="仿宋" w:eastAsia="仿宋" w:cs="仿宋"/>
          <w:color w:val="auto"/>
          <w:sz w:val="32"/>
          <w:szCs w:val="32"/>
          <w:highlight w:val="none"/>
          <w:lang w:val="en-US" w:eastAsia="zh-CN"/>
        </w:rPr>
        <w:t>为</w:t>
      </w:r>
      <w:r>
        <w:rPr>
          <w:rFonts w:hint="eastAsia" w:ascii="仿宋" w:hAnsi="仿宋" w:eastAsia="仿宋" w:cs="仿宋"/>
          <w:b w:val="0"/>
          <w:bCs w:val="0"/>
          <w:color w:val="auto"/>
          <w:spacing w:val="0"/>
          <w:sz w:val="32"/>
          <w:szCs w:val="32"/>
          <w:highlight w:val="none"/>
          <w:lang w:val="en-US" w:eastAsia="zh-CN"/>
        </w:rPr>
        <w:t>38.5800万元</w:t>
      </w:r>
      <w:r>
        <w:rPr>
          <w:rFonts w:hint="eastAsia" w:ascii="仿宋" w:hAnsi="仿宋" w:eastAsia="仿宋" w:cs="仿宋"/>
          <w:color w:val="auto"/>
          <w:sz w:val="32"/>
          <w:szCs w:val="32"/>
          <w:highlight w:val="none"/>
          <w:u w:val="none"/>
          <w:lang w:val="en-US" w:eastAsia="zh-CN"/>
        </w:rPr>
        <w:t>（叁拾捌万伍仟捌佰元</w:t>
      </w:r>
      <w:r>
        <w:rPr>
          <w:rFonts w:hint="eastAsia" w:ascii="仿宋" w:hAnsi="仿宋" w:eastAsia="仿宋" w:cs="仿宋"/>
          <w:color w:val="auto"/>
          <w:sz w:val="32"/>
          <w:szCs w:val="32"/>
          <w:highlight w:val="none"/>
          <w:u w:val="none"/>
        </w:rPr>
        <w:t>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highlight w:val="none"/>
          <w:lang w:val="en-US" w:eastAsia="zh-CN"/>
        </w:rPr>
        <w:t>竞买保证金为</w:t>
      </w:r>
      <w:r>
        <w:rPr>
          <w:rFonts w:hint="eastAsia" w:ascii="仿宋" w:hAnsi="仿宋" w:eastAsia="仿宋" w:cs="仿宋"/>
          <w:b w:val="0"/>
          <w:bCs w:val="0"/>
          <w:color w:val="auto"/>
          <w:spacing w:val="0"/>
          <w:sz w:val="32"/>
          <w:szCs w:val="32"/>
          <w:highlight w:val="none"/>
          <w:lang w:val="en-US" w:eastAsia="zh-CN"/>
        </w:rPr>
        <w:t>38.5800万元</w:t>
      </w:r>
      <w:r>
        <w:rPr>
          <w:rFonts w:hint="eastAsia" w:ascii="仿宋" w:hAnsi="仿宋" w:eastAsia="仿宋" w:cs="仿宋"/>
          <w:color w:val="auto"/>
          <w:sz w:val="32"/>
          <w:szCs w:val="32"/>
          <w:highlight w:val="none"/>
          <w:u w:val="none"/>
          <w:lang w:val="en-US" w:eastAsia="zh-CN"/>
        </w:rPr>
        <w:t>（叁拾捌万伍仟捌佰元</w:t>
      </w:r>
      <w:r>
        <w:rPr>
          <w:rFonts w:hint="eastAsia" w:ascii="仿宋" w:hAnsi="仿宋" w:eastAsia="仿宋" w:cs="仿宋"/>
          <w:color w:val="auto"/>
          <w:sz w:val="32"/>
          <w:szCs w:val="32"/>
          <w:highlight w:val="none"/>
          <w:u w:val="none"/>
        </w:rPr>
        <w:t>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highlight w:val="none"/>
          <w:lang w:val="en-US" w:eastAsia="zh-CN"/>
        </w:rPr>
        <w:t>增价幅度为每竞价一次增加人民币5万元（伍万元）；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rPr>
          <w:rFonts w:hint="eastAsia" w:ascii="仿宋" w:hAnsi="仿宋" w:eastAsia="仿宋" w:cs="仿宋"/>
          <w:color w:val="auto"/>
          <w:sz w:val="32"/>
          <w:szCs w:val="32"/>
          <w:highlight w:val="yellow"/>
          <w:lang w:val="en-US" w:eastAsia="zh-CN"/>
        </w:rPr>
      </w:pPr>
      <w:r>
        <w:rPr>
          <w:rFonts w:hint="eastAsia" w:ascii="仿宋" w:hAnsi="仿宋" w:eastAsia="仿宋" w:cs="仿宋"/>
          <w:b/>
          <w:bCs/>
          <w:color w:val="auto"/>
          <w:sz w:val="32"/>
          <w:szCs w:val="32"/>
          <w:highlight w:val="none"/>
          <w:lang w:val="en-US" w:eastAsia="zh-CN"/>
        </w:rPr>
        <w:t>地块二：</w:t>
      </w:r>
      <w:r>
        <w:rPr>
          <w:rFonts w:hint="eastAsia" w:ascii="仿宋" w:hAnsi="仿宋" w:eastAsia="仿宋" w:cs="仿宋"/>
          <w:color w:val="auto"/>
          <w:sz w:val="32"/>
          <w:szCs w:val="32"/>
          <w:highlight w:val="none"/>
        </w:rPr>
        <w:t>宗地的挂牌起始价</w:t>
      </w:r>
      <w:r>
        <w:rPr>
          <w:rFonts w:hint="eastAsia" w:ascii="仿宋" w:hAnsi="仿宋" w:eastAsia="仿宋" w:cs="仿宋"/>
          <w:color w:val="auto"/>
          <w:sz w:val="32"/>
          <w:szCs w:val="32"/>
          <w:highlight w:val="none"/>
          <w:lang w:val="en-US" w:eastAsia="zh-CN"/>
        </w:rPr>
        <w:t>为</w:t>
      </w:r>
      <w:r>
        <w:rPr>
          <w:rFonts w:hint="eastAsia" w:ascii="仿宋" w:hAnsi="仿宋" w:eastAsia="仿宋" w:cs="仿宋"/>
          <w:b w:val="0"/>
          <w:bCs w:val="0"/>
          <w:color w:val="auto"/>
          <w:spacing w:val="0"/>
          <w:sz w:val="32"/>
          <w:szCs w:val="32"/>
          <w:highlight w:val="none"/>
          <w:lang w:val="en-US" w:eastAsia="zh-CN"/>
        </w:rPr>
        <w:t>17.6001万元</w:t>
      </w:r>
      <w:r>
        <w:rPr>
          <w:rFonts w:hint="eastAsia" w:ascii="仿宋" w:hAnsi="仿宋" w:eastAsia="仿宋" w:cs="仿宋"/>
          <w:color w:val="auto"/>
          <w:sz w:val="32"/>
          <w:szCs w:val="32"/>
          <w:highlight w:val="none"/>
          <w:u w:val="none"/>
          <w:lang w:val="en-US" w:eastAsia="zh-CN"/>
        </w:rPr>
        <w:t>（壹拾柒万陆仟零壹元</w:t>
      </w:r>
      <w:r>
        <w:rPr>
          <w:rFonts w:hint="eastAsia" w:ascii="仿宋" w:hAnsi="仿宋" w:eastAsia="仿宋" w:cs="仿宋"/>
          <w:color w:val="auto"/>
          <w:sz w:val="32"/>
          <w:szCs w:val="32"/>
          <w:highlight w:val="none"/>
          <w:u w:val="none"/>
        </w:rPr>
        <w:t>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highlight w:val="none"/>
          <w:lang w:val="en-US" w:eastAsia="zh-CN"/>
        </w:rPr>
        <w:t>竞买保证金为</w:t>
      </w:r>
      <w:r>
        <w:rPr>
          <w:rFonts w:hint="eastAsia" w:ascii="仿宋" w:hAnsi="仿宋" w:eastAsia="仿宋" w:cs="仿宋"/>
          <w:b w:val="0"/>
          <w:bCs w:val="0"/>
          <w:color w:val="auto"/>
          <w:spacing w:val="0"/>
          <w:sz w:val="32"/>
          <w:szCs w:val="32"/>
          <w:highlight w:val="none"/>
          <w:lang w:val="en-US" w:eastAsia="zh-CN"/>
        </w:rPr>
        <w:t>17.6001万元</w:t>
      </w:r>
      <w:r>
        <w:rPr>
          <w:rFonts w:hint="eastAsia" w:ascii="仿宋" w:hAnsi="仿宋" w:eastAsia="仿宋" w:cs="仿宋"/>
          <w:color w:val="auto"/>
          <w:sz w:val="32"/>
          <w:szCs w:val="32"/>
          <w:highlight w:val="none"/>
          <w:u w:val="none"/>
          <w:lang w:val="en-US" w:eastAsia="zh-CN"/>
        </w:rPr>
        <w:t>（壹拾柒万陆仟零壹元</w:t>
      </w:r>
      <w:r>
        <w:rPr>
          <w:rFonts w:hint="eastAsia" w:ascii="仿宋" w:hAnsi="仿宋" w:eastAsia="仿宋" w:cs="仿宋"/>
          <w:color w:val="auto"/>
          <w:sz w:val="32"/>
          <w:szCs w:val="32"/>
          <w:highlight w:val="none"/>
          <w:u w:val="none"/>
        </w:rPr>
        <w:t>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highlight w:val="none"/>
          <w:lang w:val="en-US" w:eastAsia="zh-CN"/>
        </w:rPr>
        <w:t>增价幅度为每竞价一次增加人民币5万元（伍万元）。</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五、网上竞买申请流程</w:t>
      </w:r>
      <w:r>
        <w:rPr>
          <w:rFonts w:hint="eastAsia" w:ascii="仿宋" w:hAnsi="仿宋" w:eastAsia="仿宋" w:cs="仿宋"/>
          <w:color w:val="000000"/>
          <w:sz w:val="32"/>
          <w:szCs w:val="32"/>
        </w:rPr>
        <w:tab/>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bCs/>
          <w:color w:val="000000"/>
          <w:sz w:val="32"/>
          <w:szCs w:val="32"/>
        </w:rPr>
        <w:t>CA数字证书的获取及绑定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1、获取方式</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竞买人在报名期内登录“内蒙古自治区国土资源网上交易系统”使用CA证书获取预申购资源的竞买申请书。CA证书的办理流程详见乌海市公共资源交易中心网站办事指南中CA办理指南。</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2、CA数字证书驱动下载及系统绑定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（1）在计算机上插入</w:t>
      </w:r>
      <w:r>
        <w:rPr>
          <w:rStyle w:val="18"/>
          <w:rFonts w:hint="eastAsia" w:ascii="仿宋" w:hAnsi="仿宋" w:eastAsia="仿宋" w:cs="仿宋"/>
          <w:b w:val="0"/>
          <w:color w:val="000000"/>
          <w:sz w:val="32"/>
          <w:szCs w:val="32"/>
        </w:rPr>
        <w:t>CA数字证书</w:t>
      </w:r>
      <w:r>
        <w:rPr>
          <w:rFonts w:hint="eastAsia" w:ascii="仿宋" w:hAnsi="仿宋" w:eastAsia="仿宋" w:cs="仿宋"/>
          <w:color w:val="000000"/>
          <w:sz w:val="32"/>
          <w:szCs w:val="32"/>
        </w:rPr>
        <w:t>，打开IE浏览器输入网址：http://110.16.70.81:8090/trade-engine/trade/index进入内蒙古自治区国土资源交易系统首页（IE浏览器版本不得低于IE10）；</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（2）点击“服务中心”，进入资料下载列表，在此可下载</w:t>
      </w:r>
      <w:r>
        <w:rPr>
          <w:rStyle w:val="18"/>
          <w:rFonts w:hint="eastAsia" w:ascii="仿宋" w:hAnsi="仿宋" w:eastAsia="仿宋" w:cs="仿宋"/>
          <w:b w:val="0"/>
          <w:color w:val="000000"/>
          <w:sz w:val="32"/>
          <w:szCs w:val="32"/>
        </w:rPr>
        <w:t>CA数字证书驱动</w:t>
      </w:r>
      <w:r>
        <w:rPr>
          <w:rFonts w:hint="eastAsia" w:ascii="仿宋" w:hAnsi="仿宋" w:eastAsia="仿宋" w:cs="仿宋"/>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（3）驱动安装完成后在“网上交易系统”左上方点击“请登录”按钮进入到系统登录页面，点击“互认平台认证登陆”，页面自动跳转至</w:t>
      </w:r>
      <w:r>
        <w:rPr>
          <w:rStyle w:val="18"/>
          <w:rFonts w:hint="eastAsia" w:ascii="仿宋" w:hAnsi="仿宋" w:eastAsia="仿宋" w:cs="仿宋"/>
          <w:b w:val="0"/>
          <w:color w:val="000000"/>
          <w:sz w:val="32"/>
          <w:szCs w:val="32"/>
        </w:rPr>
        <w:t>内蒙古自治区统一认证平台</w:t>
      </w:r>
      <w:r>
        <w:rPr>
          <w:rFonts w:hint="eastAsia" w:ascii="仿宋" w:hAnsi="仿宋" w:eastAsia="仿宋" w:cs="仿宋"/>
          <w:color w:val="000000"/>
          <w:sz w:val="32"/>
          <w:szCs w:val="32"/>
        </w:rPr>
        <w:t>，需先点击“互认平台认证登录”输入密码进行CA认证，最后点击“进入授权”按钮，登录成功。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（二）本次土地挂牌</w:t>
      </w:r>
      <w:r>
        <w:rPr>
          <w:rFonts w:hint="eastAsia" w:ascii="仿宋" w:hAnsi="仿宋" w:eastAsia="仿宋" w:cs="仿宋"/>
          <w:color w:val="000000"/>
          <w:sz w:val="32"/>
          <w:szCs w:val="32"/>
          <w:lang w:eastAsia="zh-CN"/>
        </w:rPr>
        <w:t>租赁</w:t>
      </w:r>
      <w:r>
        <w:rPr>
          <w:rFonts w:hint="eastAsia" w:ascii="仿宋" w:hAnsi="仿宋" w:eastAsia="仿宋" w:cs="仿宋"/>
          <w:color w:val="000000"/>
          <w:sz w:val="32"/>
          <w:szCs w:val="32"/>
        </w:rPr>
        <w:t>采用网上竞买申请的方式，竞买人在报名期内插入CA数字证书使用IE浏览器（IE浏览器版本不得低于IE10）登录内蒙古自治区国土资源交易系统（http://110.16.70.81:8090/trade-engine/trade/index）点击预申购的资源。</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（三）竞买申请书填写</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填写《竞买申请书》，填写完成后点击“下载签章文件”按钮，将签章文件保存至计算机。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1、在线签章</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2、保证金缴纳</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注：如对系统操作存在疑问，可点击交易系统“服务中心”栏目下的“资料下载”功能下载用户操作手册。</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六、网上挂牌报价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挂牌期内竞买人可以多次出价，每次报价必须按增价幅度的倍数报价且高于当前最高有效报价。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（二）挂牌期确定预竞得人：挂牌期内只有一个竞买人报价且高于底价确定为预竞得人，报价低于底价不成交。资源挂牌期截止后，有两个以上的竞买人参与挂牌报价，系统进入限时竞价。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特别提示：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竞买人须在资源挂牌期间进行一次网上有效报价，才有资格参加之后的限时竞价环节，否则视为自动放弃竞买权。</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七、限时竞价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（一）询问期：资源挂牌期截止后，有两个以上的竞买人参与挂牌报价，系统自动进入</w:t>
      </w:r>
      <w:r>
        <w:rPr>
          <w:rStyle w:val="18"/>
          <w:rFonts w:hint="eastAsia" w:ascii="仿宋" w:hAnsi="仿宋" w:eastAsia="仿宋" w:cs="仿宋"/>
          <w:b w:val="0"/>
          <w:color w:val="000000"/>
          <w:sz w:val="32"/>
          <w:szCs w:val="32"/>
        </w:rPr>
        <w:t>3</w:t>
      </w:r>
      <w:r>
        <w:rPr>
          <w:rFonts w:hint="eastAsia" w:ascii="仿宋" w:hAnsi="仿宋" w:eastAsia="仿宋" w:cs="仿宋"/>
          <w:color w:val="000000"/>
          <w:sz w:val="32"/>
          <w:szCs w:val="32"/>
        </w:rPr>
        <w:t>分钟询问期，询问期结束后，进入限时竞价环节；</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（二）限时竞价：进入限时竞价环节的竞买人需在系统设定的倒计时时间内进行报价，报价应是增价幅度的倍数，系统以</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分钟倒计时为竞价时限，如在</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分钟倒计时内有新的报价，系统即从接受新报价之时起重置竞价时限，竞买人可参加新一轮的报价。</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分钟倒计时内无人报价，则在该地块</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分钟倒计时结束时自动关闭竞价通道，系统确定当前最高有效报价，限时竞价结束。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（四）预竞得人登录“网上交易系统”在“个人中心-&gt;我的文档”中打印《国有土地使用权预成交确认书》。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八、资质审查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预竞得人在系统签发《国有土地使用权预成交确认书》的2个工作日内，将企业营业执照</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、法定代表人身份证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、如委托他人办理的须上传委托书及受托人身份证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、《国有土地使用权预成交确认书》</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保证金缴纳回执单（银行回执单）</w:t>
      </w:r>
      <w:r>
        <w:rPr>
          <w:rFonts w:hint="eastAsia" w:ascii="仿宋" w:hAnsi="仿宋" w:eastAsia="仿宋" w:cs="仿宋"/>
          <w:b/>
          <w:bCs/>
          <w:color w:val="000000"/>
          <w:sz w:val="32"/>
          <w:szCs w:val="32"/>
        </w:rPr>
        <w:t>上传至交易系统。</w:t>
      </w:r>
      <w:r>
        <w:rPr>
          <w:rFonts w:hint="eastAsia" w:ascii="仿宋" w:hAnsi="仿宋" w:eastAsia="仿宋" w:cs="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cs="仿宋"/>
          <w:b/>
          <w:bCs/>
          <w:color w:val="000000"/>
          <w:sz w:val="32"/>
          <w:szCs w:val="32"/>
        </w:rPr>
        <w:t>。交易中心在线对其进行资格确认。通过资格确认的，交易中心签发《成交确认书》，未通过资格确认的取消其竞得资格。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九、成交确认</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在资格审查结束后，根据审查结果确定资源成交，竞得人持所需材料在公告约定时间内与出</w:t>
      </w:r>
      <w:r>
        <w:rPr>
          <w:rFonts w:hint="eastAsia" w:ascii="仿宋" w:hAnsi="仿宋" w:eastAsia="仿宋" w:cs="仿宋"/>
          <w:color w:val="000000"/>
          <w:sz w:val="32"/>
          <w:szCs w:val="32"/>
          <w:lang w:eastAsia="zh-CN"/>
        </w:rPr>
        <w:t>租</w:t>
      </w:r>
      <w:r>
        <w:rPr>
          <w:rFonts w:hint="eastAsia" w:ascii="仿宋" w:hAnsi="仿宋" w:eastAsia="仿宋" w:cs="仿宋"/>
          <w:color w:val="000000"/>
          <w:sz w:val="32"/>
          <w:szCs w:val="32"/>
        </w:rPr>
        <w:t>人签订国有土地使用权成交确认书；未通过审核的取消其竞得资格。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十、结果公示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成交确认书签订后，出</w:t>
      </w:r>
      <w:r>
        <w:rPr>
          <w:rFonts w:hint="eastAsia" w:ascii="仿宋" w:hAnsi="仿宋" w:eastAsia="仿宋" w:cs="仿宋"/>
          <w:color w:val="000000"/>
          <w:sz w:val="32"/>
          <w:szCs w:val="32"/>
          <w:lang w:eastAsia="zh-CN"/>
        </w:rPr>
        <w:t>租</w:t>
      </w:r>
      <w:r>
        <w:rPr>
          <w:rFonts w:hint="eastAsia" w:ascii="仿宋" w:hAnsi="仿宋" w:eastAsia="仿宋" w:cs="仿宋"/>
          <w:color w:val="000000"/>
          <w:sz w:val="32"/>
          <w:szCs w:val="32"/>
        </w:rPr>
        <w:t>人与交易机构10个工作日内在相关网站发布成交结果公示，公示期不少于5天。</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十一、保证金的处置</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交易公示结束后，未竞得人的保证金5个工作日原路退还至基本账户（不计利息），竞得人的保证金可转做国有土地使用权</w:t>
      </w:r>
      <w:r>
        <w:rPr>
          <w:rFonts w:hint="eastAsia" w:ascii="仿宋" w:hAnsi="仿宋" w:eastAsia="仿宋" w:cs="仿宋"/>
          <w:color w:val="000000"/>
          <w:sz w:val="32"/>
          <w:szCs w:val="32"/>
          <w:lang w:eastAsia="zh-CN"/>
        </w:rPr>
        <w:t>租金</w:t>
      </w:r>
      <w:r>
        <w:rPr>
          <w:rFonts w:hint="eastAsia" w:ascii="仿宋" w:hAnsi="仿宋" w:eastAsia="仿宋" w:cs="仿宋"/>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十二、竞买人未按照公告及挂牌</w:t>
      </w:r>
      <w:r>
        <w:rPr>
          <w:rFonts w:hint="eastAsia" w:ascii="仿宋" w:hAnsi="仿宋" w:eastAsia="仿宋" w:cs="仿宋"/>
          <w:color w:val="000000"/>
          <w:sz w:val="32"/>
          <w:szCs w:val="32"/>
          <w:lang w:eastAsia="zh-CN"/>
        </w:rPr>
        <w:t>租赁</w:t>
      </w:r>
      <w:r>
        <w:rPr>
          <w:rFonts w:hint="eastAsia" w:ascii="仿宋" w:hAnsi="仿宋" w:eastAsia="仿宋" w:cs="仿宋"/>
          <w:color w:val="000000"/>
          <w:sz w:val="32"/>
          <w:szCs w:val="32"/>
        </w:rPr>
        <w:t>文件全部要求执行的，所造成的一切损失和法律后果由竞买人自行承担。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十三、</w:t>
      </w:r>
      <w:r>
        <w:rPr>
          <w:rFonts w:hint="eastAsia" w:ascii="仿宋" w:hAnsi="仿宋" w:eastAsia="仿宋" w:cs="仿宋"/>
          <w:color w:val="000000"/>
          <w:sz w:val="32"/>
          <w:szCs w:val="32"/>
        </w:rPr>
        <w:t>竞买人在“网上交易系统”实施的所有行为，均由“网上交易系统”自动记录，视为竞买人真实或经合法授权的行为，该行为所引起的法律责任由竞买人承担。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十四、</w:t>
      </w:r>
      <w:r>
        <w:rPr>
          <w:rFonts w:hint="eastAsia" w:ascii="仿宋" w:hAnsi="仿宋" w:eastAsia="仿宋" w:cs="仿宋"/>
          <w:color w:val="000000"/>
          <w:sz w:val="32"/>
          <w:szCs w:val="32"/>
        </w:rPr>
        <w:t>竞买人应当妥善保管数字证书和密码。因竞买人电脑操作系统被侵入或其他自身原因导致数字证书遗失或密码泄漏等造成的损失，由竞买人自行承担。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十五、</w:t>
      </w:r>
      <w:r>
        <w:rPr>
          <w:rFonts w:hint="eastAsia" w:ascii="仿宋" w:hAnsi="仿宋" w:eastAsia="仿宋" w:cs="仿宋"/>
          <w:color w:val="000000"/>
          <w:sz w:val="32"/>
          <w:szCs w:val="32"/>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十六、</w:t>
      </w:r>
      <w:r>
        <w:rPr>
          <w:rFonts w:hint="eastAsia" w:ascii="仿宋" w:hAnsi="仿宋" w:eastAsia="仿宋" w:cs="仿宋"/>
          <w:color w:val="000000"/>
          <w:sz w:val="32"/>
          <w:szCs w:val="32"/>
        </w:rPr>
        <w:t>有下列情形之一的，国有土地使用权交易行为应中止</w:t>
      </w:r>
      <w:r>
        <w:rPr>
          <w:rStyle w:val="18"/>
          <w:rFonts w:hint="eastAsia" w:ascii="仿宋" w:hAnsi="仿宋" w:eastAsia="仿宋" w:cs="仿宋"/>
          <w:b w:val="0"/>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（一）网上交易系统受到网络恶意入侵的；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（二）因网上交易系统遭受破坏或发生电力、网络故障等不可抗力的非交易中心因素，导致网上交易系统不能正常运行的；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（三）因不可抗力应当中止国有土地使用权交易的其他情形。</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国有土地使用权交易行为中止的原因消除后，应当及时恢复国有土地使用权交易。</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十七、</w:t>
      </w:r>
      <w:r>
        <w:rPr>
          <w:rFonts w:hint="eastAsia" w:ascii="仿宋" w:hAnsi="仿宋" w:eastAsia="仿宋" w:cs="仿宋"/>
          <w:color w:val="000000"/>
          <w:sz w:val="32"/>
          <w:szCs w:val="32"/>
        </w:rPr>
        <w:t>出现以下情形之一的即视为竞得人违约，出</w:t>
      </w:r>
      <w:r>
        <w:rPr>
          <w:rFonts w:hint="eastAsia" w:ascii="仿宋" w:hAnsi="仿宋" w:eastAsia="仿宋" w:cs="仿宋"/>
          <w:color w:val="000000"/>
          <w:sz w:val="32"/>
          <w:szCs w:val="32"/>
          <w:lang w:eastAsia="zh-CN"/>
        </w:rPr>
        <w:t>租</w:t>
      </w:r>
      <w:r>
        <w:rPr>
          <w:rFonts w:hint="eastAsia" w:ascii="仿宋" w:hAnsi="仿宋" w:eastAsia="仿宋" w:cs="仿宋"/>
          <w:color w:val="000000"/>
          <w:sz w:val="32"/>
          <w:szCs w:val="32"/>
        </w:rPr>
        <w:t>人有权解除《成交确认书》，并取消竞得人的资格。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（一）竞得人提供的资质条件证明文件虚假的；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（二）竞得人隐瞒事实，恶意串通或采取其他非法手段竞得的；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（三）竞得人拒绝签订《成交确认书》；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（四）公示期间有举报且经调查核实属违法违规行为的。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十八、出</w:t>
      </w:r>
      <w:r>
        <w:rPr>
          <w:rStyle w:val="18"/>
          <w:rFonts w:hint="eastAsia" w:ascii="仿宋" w:hAnsi="仿宋" w:eastAsia="仿宋" w:cs="仿宋"/>
          <w:b w:val="0"/>
          <w:color w:val="000000"/>
          <w:sz w:val="32"/>
          <w:szCs w:val="32"/>
          <w:lang w:eastAsia="zh-CN"/>
        </w:rPr>
        <w:t>租</w:t>
      </w:r>
      <w:r>
        <w:rPr>
          <w:rStyle w:val="18"/>
          <w:rFonts w:hint="eastAsia" w:ascii="仿宋" w:hAnsi="仿宋" w:eastAsia="仿宋" w:cs="仿宋"/>
          <w:b w:val="0"/>
          <w:color w:val="000000"/>
          <w:sz w:val="32"/>
          <w:szCs w:val="32"/>
        </w:rPr>
        <w:t>人对本《国有土地使用权挂牌</w:t>
      </w:r>
      <w:r>
        <w:rPr>
          <w:rStyle w:val="18"/>
          <w:rFonts w:hint="eastAsia" w:ascii="仿宋" w:hAnsi="仿宋" w:eastAsia="仿宋" w:cs="仿宋"/>
          <w:b w:val="0"/>
          <w:color w:val="000000"/>
          <w:sz w:val="32"/>
          <w:szCs w:val="32"/>
          <w:lang w:eastAsia="zh-CN"/>
        </w:rPr>
        <w:t>租赁</w:t>
      </w:r>
      <w:r>
        <w:rPr>
          <w:rStyle w:val="18"/>
          <w:rFonts w:hint="eastAsia" w:ascii="仿宋" w:hAnsi="仿宋" w:eastAsia="仿宋" w:cs="仿宋"/>
          <w:b w:val="0"/>
          <w:color w:val="000000"/>
          <w:sz w:val="32"/>
          <w:szCs w:val="32"/>
        </w:rPr>
        <w:t>须知》有最终解释权。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0"/>
        <w:jc w:val="right"/>
        <w:rPr>
          <w:rFonts w:hint="eastAsia" w:ascii="仿宋" w:hAnsi="仿宋" w:eastAsia="仿宋" w:cs="仿宋"/>
          <w:color w:val="auto"/>
          <w:sz w:val="32"/>
          <w:szCs w:val="32"/>
        </w:rPr>
      </w:pPr>
      <w:r>
        <w:rPr>
          <w:rStyle w:val="18"/>
          <w:rFonts w:hint="eastAsia" w:ascii="仿宋" w:hAnsi="仿宋" w:eastAsia="仿宋" w:cs="仿宋"/>
          <w:b w:val="0"/>
          <w:color w:val="auto"/>
          <w:sz w:val="32"/>
          <w:szCs w:val="32"/>
        </w:rPr>
        <w:t>乌海市公共资源交易中心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560" w:firstLineChars="205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18</w:t>
      </w:r>
      <w:r>
        <w:rPr>
          <w:rFonts w:hint="eastAsia" w:ascii="仿宋" w:hAnsi="仿宋" w:eastAsia="仿宋" w:cs="仿宋"/>
          <w:color w:val="auto"/>
          <w:sz w:val="32"/>
          <w:szCs w:val="32"/>
          <w:highlight w:val="none"/>
        </w:rPr>
        <w:t>日</w:t>
      </w:r>
    </w:p>
    <w:p>
      <w:pPr>
        <w:pStyle w:val="13"/>
        <w:shd w:val="clear" w:color="auto" w:fill="FFFFFF"/>
        <w:spacing w:before="0" w:beforeAutospacing="0" w:after="0" w:afterAutospacing="0" w:line="540" w:lineRule="exact"/>
        <w:ind w:firstLine="6560" w:firstLineChars="2050"/>
        <w:jc w:val="both"/>
        <w:rPr>
          <w:rFonts w:ascii="仿宋" w:hAnsi="仿宋" w:eastAsia="仿宋"/>
          <w:color w:val="000000"/>
          <w:sz w:val="32"/>
          <w:szCs w:val="32"/>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UGN4HiAQAAwwMAAA4AAABkcnMvZTJvRG9jLnhtbK1T&#10;S27bMBDdF8gdCO5rSXZrBILlAK2RokDRFkhzAJqiLAL8ZUhbcg/Q3qCrbrrvuXyODinFUZJNFt1I&#10;8+ObeY/D1VWvFTkI8NKaihaznBJhuK2l2VX09tv160tKfGCmZsoaUdGj8PRqffFq1blSzG1rVS2A&#10;IIjxZecq2obgyizzvBWa+Zl1wmCysaBZQBd2WQ2sQ3StsnmeL7POQu3AcuE9RjdDko6I8BJA2zSS&#10;i43ley1MGFBBKBaQkm+l83Sdpm0awcOXpvEiEFVRZBrSF5ugvY3fbL1i5Q6YayUfR2AvGeEJJ82k&#10;waZnqA0LjOxBPoPSkoP1tgkzbnU2EEmKIIsif6LNTcucSFxQau/Oovv/B8s/H74CkXVFF5QYpvHC&#10;T79+nn7/Pf35Qd5GeTrnS6y6cVgX+ne2x6W5j3sMRtZ9Azr+kQ/BPIp7PIsr+kA4BpdFsVzMMcUx&#10;V1zmizdJ/ezhtAMfPgirSTQqCnh5SVN2+OQDToKl9yWxmbHXUql0gco8CmDhEBFpA8bTkcgwcLRC&#10;v+1HdltbH5Ecvgns2lr4TkmHG1FRf7dnIChRHw1KvljmeVyhqQNTZzt1mOEIVdFAyWC+D8Pa7R3I&#10;XYudkopZnAXvNrEb9zAuz9RHe/r2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3igdtkAAAAK&#10;AQAADwAAAAAAAAABACAAAAAiAAAAZHJzL2Rvd25yZXYueG1sUEsBAhQAFAAAAAgAh07iQKUGN4Hi&#10;AQAAwwMAAA4AAAAAAAAAAQAgAAAAKAEAAGRycy9lMm9Eb2MueG1sUEsFBgAAAAAGAAYAWQEAAHwF&#10;A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LVDMjLhAQAAwwMAAA4AAABkcnMvZTJvRG9jLnht&#10;bK1TzY7TMBC+I/EOlu80SReybNR0JagWISFAWvYBXMduLPmPsdukPAC8AScu3HmuPgfjJFvCctkD&#10;l2R+7G/m+2a8uu6NJgcBQTlb02KRUyIsd42yu5refbp59pKSEJltmHZW1PQoAr1eP32y6nwllq51&#10;uhFAEMSGqvM1bWP0VZYF3grDwsJ5YTEpHRgW0YVd1gDrEN3obJnnZdY5aDw4LkLA6GZM0gkRHgPo&#10;pFRcbBzfG2HjiApCs4iUQqt8oOuhWykFjx+kDCISXVNkGocvFkF7m77ZesWqHTDfKj61wB7TwgNO&#10;himLRc9QGxYZ2YP6B8ooDi44GRfcmWwkMiiCLIr8gTa3LfNi4IJSB38WPfw/WP7+8BGIamr6nBLL&#10;DA789P3b6cev08+vpEzydD5UeOrW47nYv3I9Ls19PGAwse4lmPRHPgTzKO7xLK7oI+EYLIuivFhi&#10;imOuuLy6zF8kmOzPbQ8hvhHOkGTUFHB4g6bs8C7E8ej9kVTMuhul9TBAbf8KIOYYEcMGTLcTkbHh&#10;ZMV+20/stq45Ijl8E1i1dfCFkg43oqbh856BoES/tSj5RZnnaYXmDsyd7dxhliNUTSMlo/k6jmu3&#10;96B2LVYaVMxSLzjbQYhpD9PyzH205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UMy&#10;Mu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Dh1kCbfAQAAwwMAAA4AAABkcnMvZTJvRG9jLnhtbK1T&#10;TY7TMBTeI3EHy3uapEXVKGo6ElSDkBAgDRzAdezGkv94dpuUA8ANWLFhz7l6Dp6dUMKwmQWb5P35&#10;e+/7/Ly5HYwmJwFBOdvQalFSIix3rbKHhn78cPfshpIQmW2ZdlY09CwCvd0+fbLpfS2WrnO6FUAQ&#10;xIa69w3tYvR1UQTeCcPCwnlhMSkdGBbRhUPRAusR3ehiWZbronfQenBchIDR3ZikEyI8BtBJqbjY&#10;OX40wsYRFYRmESmFTvlAt3laKQWP76QMIhLdUGQa8xeboL1P32K7YfUBmO8Un0ZgjxnhASfDlMWm&#10;V6gdi4wcQf0DZRQHF5yMC+5MMRLJiiCLqnygzX3HvMhcUOrgr6KH/wfL357eA1EtbgIllhm88Mu3&#10;r5fvPy8/vpBlkqf3ocaqe491cXjhhlQ6xQMGE+tBgkl/5EMwj+Ker+KKIRKOwXVVrVdLTHHMVTfl&#10;6nlWv/hz2kOIr4QzJBkNBby8rCk7vQkRO2Lp75LUzLo7pXW+QG3/CmDhGBF5A6bTicg4cLLisB8m&#10;FnvXnpEcvgns2jn4TEmPG9HQ8OnIQFCiX1uUfLUuy7RCcwfmzn7uMMsRqqGRktF8Gce1O3pQhw47&#10;ZRWLNAvebWY37WFanrmP9vztb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3igdtkAAAAKAQAA&#10;DwAAAAAAAAABACAAAAAiAAAAZHJzL2Rvd25yZXYueG1sUEsBAhQAFAAAAAgAh07iQDh1kCbfAQAA&#10;wwMAAA4AAAAAAAAAAQAgAAAAKAEAAGRycy9lMm9Eb2MueG1sUEsFBgAAAAAGAAYAWQEAAHkFAAAA&#10;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E8oGrThAQAAwwMAAA4AAABkcnMvZTJvRG9jLnht&#10;bK1TzY7TMBC+I/EOlu80SSu6EDVdCapFSAiQFh7AdZzGku0xY7dJeQB4A05cuO9z9TkYJ9lSlsse&#10;uCTzY38z3zfj1XVvDTsoDBpcxYtZzplyEmrtdhX//Onm2QvOQhSuFgacqvhRBX69fvpk1flSzaEF&#10;UytkBOJC2fmKtzH6MsuCbJUVYQZeOUo2gFZEcnGX1Sg6Qrcmm+f5MusAa48gVQgU3YxJPiHiYwCh&#10;abRUG5B7q1wcUVEZEYlSaLUPfD102zRKxg9NE1RkpuLENA5fKkL2Nn2z9UqUOxS+1XJqQTymhQec&#10;rNCOip6hNiIKtkf9D5TVEiFAE2cSbDYSGRQhFkX+QJvbVng1cCGpgz+LHv4frHx/+IhM1xWfc+aE&#10;pYGffnw//bw7/frGFkmezoeSTt16Ohf7V9DT0tzHAwUT675Bm/7Eh1GexD2exVV9ZJKCy6JYLuaU&#10;kpQrrl5e5c8TTPbntscQ3yiwLBkVRxreoKk4vAtxPHp/JBVzcKONGQZo3F8BwhwjatiA6XYiMjac&#10;rNhv+4ndFuojkaM3QVVbwK+cdbQRFQ9f9gIVZ+atI8kXyzxPK3Tp4KWzvXSEkwRV8cjZaL6O49rt&#10;PepdS5UGFbPUC812EGLaw7Q8lz7Zl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yga&#10;tO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39"/>
  <w:hyphenationZone w:val="360"/>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2607"/>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5121D0"/>
    <w:rsid w:val="028B18FB"/>
    <w:rsid w:val="029A7C8F"/>
    <w:rsid w:val="02DE5ECF"/>
    <w:rsid w:val="02E903CF"/>
    <w:rsid w:val="03012EB6"/>
    <w:rsid w:val="030C2C1F"/>
    <w:rsid w:val="030D2AD3"/>
    <w:rsid w:val="03E05C76"/>
    <w:rsid w:val="040F0053"/>
    <w:rsid w:val="041059C0"/>
    <w:rsid w:val="04115814"/>
    <w:rsid w:val="044E1C2B"/>
    <w:rsid w:val="04640655"/>
    <w:rsid w:val="048A0CB8"/>
    <w:rsid w:val="05551D6C"/>
    <w:rsid w:val="05931291"/>
    <w:rsid w:val="06734B80"/>
    <w:rsid w:val="06777248"/>
    <w:rsid w:val="06B63265"/>
    <w:rsid w:val="07115CFE"/>
    <w:rsid w:val="07141709"/>
    <w:rsid w:val="07492231"/>
    <w:rsid w:val="074C630C"/>
    <w:rsid w:val="07911761"/>
    <w:rsid w:val="089536DE"/>
    <w:rsid w:val="08E91129"/>
    <w:rsid w:val="08E91C8E"/>
    <w:rsid w:val="091C14FF"/>
    <w:rsid w:val="09554F7F"/>
    <w:rsid w:val="09AC5238"/>
    <w:rsid w:val="09B91E73"/>
    <w:rsid w:val="0B216B0F"/>
    <w:rsid w:val="0B453DBF"/>
    <w:rsid w:val="0B6C7DF0"/>
    <w:rsid w:val="0C3A6B50"/>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3C57211"/>
    <w:rsid w:val="141C6857"/>
    <w:rsid w:val="145664B1"/>
    <w:rsid w:val="14956609"/>
    <w:rsid w:val="14B1541F"/>
    <w:rsid w:val="14CB202B"/>
    <w:rsid w:val="15681628"/>
    <w:rsid w:val="16133C89"/>
    <w:rsid w:val="1615355E"/>
    <w:rsid w:val="175E4A65"/>
    <w:rsid w:val="18000D5A"/>
    <w:rsid w:val="182A0D45"/>
    <w:rsid w:val="18CB2A86"/>
    <w:rsid w:val="18CF5571"/>
    <w:rsid w:val="18EC3795"/>
    <w:rsid w:val="19197D2F"/>
    <w:rsid w:val="1945669A"/>
    <w:rsid w:val="196D7CBC"/>
    <w:rsid w:val="19DF03DA"/>
    <w:rsid w:val="1A0C2EC9"/>
    <w:rsid w:val="1A676352"/>
    <w:rsid w:val="1A713C1F"/>
    <w:rsid w:val="1AA70EDA"/>
    <w:rsid w:val="1AC506ED"/>
    <w:rsid w:val="1B3A0A95"/>
    <w:rsid w:val="1B3A2F9D"/>
    <w:rsid w:val="1B3A3A66"/>
    <w:rsid w:val="1B903686"/>
    <w:rsid w:val="1BAF0938"/>
    <w:rsid w:val="1C067028"/>
    <w:rsid w:val="1C336778"/>
    <w:rsid w:val="1C3D1E77"/>
    <w:rsid w:val="1C5C5906"/>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9F554B"/>
    <w:rsid w:val="22CB5E23"/>
    <w:rsid w:val="22E42C35"/>
    <w:rsid w:val="230C7A3E"/>
    <w:rsid w:val="235F294A"/>
    <w:rsid w:val="23653452"/>
    <w:rsid w:val="23D55D20"/>
    <w:rsid w:val="23FB76B9"/>
    <w:rsid w:val="23FE3883"/>
    <w:rsid w:val="24084B98"/>
    <w:rsid w:val="243634F3"/>
    <w:rsid w:val="246F478D"/>
    <w:rsid w:val="24AD1BC4"/>
    <w:rsid w:val="250A344E"/>
    <w:rsid w:val="25590B49"/>
    <w:rsid w:val="258E50DA"/>
    <w:rsid w:val="259C1DC8"/>
    <w:rsid w:val="25C7239A"/>
    <w:rsid w:val="25DE3CBB"/>
    <w:rsid w:val="25E511E1"/>
    <w:rsid w:val="25E847EB"/>
    <w:rsid w:val="266E4003"/>
    <w:rsid w:val="267A11BB"/>
    <w:rsid w:val="268812DB"/>
    <w:rsid w:val="269654E3"/>
    <w:rsid w:val="270B7AC8"/>
    <w:rsid w:val="270B7E24"/>
    <w:rsid w:val="27703550"/>
    <w:rsid w:val="28074CD0"/>
    <w:rsid w:val="290F05C4"/>
    <w:rsid w:val="294754FC"/>
    <w:rsid w:val="294D73CE"/>
    <w:rsid w:val="29732316"/>
    <w:rsid w:val="2984009C"/>
    <w:rsid w:val="29862108"/>
    <w:rsid w:val="298F6472"/>
    <w:rsid w:val="29FC015B"/>
    <w:rsid w:val="2A7517C0"/>
    <w:rsid w:val="2A795E57"/>
    <w:rsid w:val="2AE80AD7"/>
    <w:rsid w:val="2AF272BD"/>
    <w:rsid w:val="2C93023E"/>
    <w:rsid w:val="2CC338BC"/>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8529BF"/>
    <w:rsid w:val="318B3424"/>
    <w:rsid w:val="31D2190C"/>
    <w:rsid w:val="325244A3"/>
    <w:rsid w:val="32592463"/>
    <w:rsid w:val="32655415"/>
    <w:rsid w:val="32B70DC5"/>
    <w:rsid w:val="32D70A47"/>
    <w:rsid w:val="33016F86"/>
    <w:rsid w:val="33152997"/>
    <w:rsid w:val="33653D7A"/>
    <w:rsid w:val="33725B8E"/>
    <w:rsid w:val="33A27236"/>
    <w:rsid w:val="33C06508"/>
    <w:rsid w:val="340A662D"/>
    <w:rsid w:val="34360E17"/>
    <w:rsid w:val="3485275D"/>
    <w:rsid w:val="34903798"/>
    <w:rsid w:val="34C2697F"/>
    <w:rsid w:val="35207CA0"/>
    <w:rsid w:val="35296DE4"/>
    <w:rsid w:val="355C181D"/>
    <w:rsid w:val="356F70AA"/>
    <w:rsid w:val="35A053D3"/>
    <w:rsid w:val="35AC25ED"/>
    <w:rsid w:val="35D11B70"/>
    <w:rsid w:val="362E3CD5"/>
    <w:rsid w:val="36354047"/>
    <w:rsid w:val="36F11B9A"/>
    <w:rsid w:val="37046C25"/>
    <w:rsid w:val="37EF6335"/>
    <w:rsid w:val="38B4392F"/>
    <w:rsid w:val="38D07641"/>
    <w:rsid w:val="39580A05"/>
    <w:rsid w:val="397F0B6A"/>
    <w:rsid w:val="39BA0B35"/>
    <w:rsid w:val="39D013C6"/>
    <w:rsid w:val="3A2F7D52"/>
    <w:rsid w:val="3A7868EF"/>
    <w:rsid w:val="3A8B3E85"/>
    <w:rsid w:val="3B092B44"/>
    <w:rsid w:val="3B3D2537"/>
    <w:rsid w:val="3B405113"/>
    <w:rsid w:val="3BC256EE"/>
    <w:rsid w:val="3CB55BF6"/>
    <w:rsid w:val="3D387D66"/>
    <w:rsid w:val="3DDB4AD0"/>
    <w:rsid w:val="3E1034A1"/>
    <w:rsid w:val="3E1B36E3"/>
    <w:rsid w:val="3E447CFD"/>
    <w:rsid w:val="3EE735A7"/>
    <w:rsid w:val="3FB461A6"/>
    <w:rsid w:val="403703F1"/>
    <w:rsid w:val="40DC6D8D"/>
    <w:rsid w:val="40E52187"/>
    <w:rsid w:val="41087697"/>
    <w:rsid w:val="412A20B8"/>
    <w:rsid w:val="416E5568"/>
    <w:rsid w:val="418E6E19"/>
    <w:rsid w:val="42004812"/>
    <w:rsid w:val="420B0476"/>
    <w:rsid w:val="42894808"/>
    <w:rsid w:val="42D86298"/>
    <w:rsid w:val="42EE0B0F"/>
    <w:rsid w:val="436C4C92"/>
    <w:rsid w:val="43874EB8"/>
    <w:rsid w:val="439F739E"/>
    <w:rsid w:val="43C53EED"/>
    <w:rsid w:val="43DB1093"/>
    <w:rsid w:val="44086D9A"/>
    <w:rsid w:val="440B71BB"/>
    <w:rsid w:val="4441584C"/>
    <w:rsid w:val="444C65CD"/>
    <w:rsid w:val="444F4F3A"/>
    <w:rsid w:val="446E1C6F"/>
    <w:rsid w:val="44AE60C5"/>
    <w:rsid w:val="44EF6B85"/>
    <w:rsid w:val="4525470A"/>
    <w:rsid w:val="4571584E"/>
    <w:rsid w:val="45780F51"/>
    <w:rsid w:val="45C323F1"/>
    <w:rsid w:val="45F80E26"/>
    <w:rsid w:val="46301D91"/>
    <w:rsid w:val="466330FF"/>
    <w:rsid w:val="467363F8"/>
    <w:rsid w:val="46DE5907"/>
    <w:rsid w:val="47310BC3"/>
    <w:rsid w:val="473968FE"/>
    <w:rsid w:val="474433F3"/>
    <w:rsid w:val="474732F8"/>
    <w:rsid w:val="47D604EF"/>
    <w:rsid w:val="47DA120A"/>
    <w:rsid w:val="483376F0"/>
    <w:rsid w:val="485F7C46"/>
    <w:rsid w:val="498E0956"/>
    <w:rsid w:val="49C263A5"/>
    <w:rsid w:val="49FC6E82"/>
    <w:rsid w:val="4AC128C1"/>
    <w:rsid w:val="4AC436A6"/>
    <w:rsid w:val="4B3308B5"/>
    <w:rsid w:val="4B337875"/>
    <w:rsid w:val="4B5E0F69"/>
    <w:rsid w:val="4B727C4A"/>
    <w:rsid w:val="4B73039B"/>
    <w:rsid w:val="4C592403"/>
    <w:rsid w:val="4C767D72"/>
    <w:rsid w:val="4C863DA4"/>
    <w:rsid w:val="4CC56D43"/>
    <w:rsid w:val="4CF431C6"/>
    <w:rsid w:val="4D101657"/>
    <w:rsid w:val="4D166C24"/>
    <w:rsid w:val="4D2A484F"/>
    <w:rsid w:val="4D6B3488"/>
    <w:rsid w:val="4D891B60"/>
    <w:rsid w:val="4DB43081"/>
    <w:rsid w:val="4E120E4F"/>
    <w:rsid w:val="4EE15319"/>
    <w:rsid w:val="4F755F96"/>
    <w:rsid w:val="4FCE7CFE"/>
    <w:rsid w:val="504F7091"/>
    <w:rsid w:val="50DB56F2"/>
    <w:rsid w:val="51791EEB"/>
    <w:rsid w:val="52466FD8"/>
    <w:rsid w:val="526B7E3F"/>
    <w:rsid w:val="52941907"/>
    <w:rsid w:val="52A925E8"/>
    <w:rsid w:val="52B4767F"/>
    <w:rsid w:val="52EB531A"/>
    <w:rsid w:val="534E30A1"/>
    <w:rsid w:val="53826985"/>
    <w:rsid w:val="5385424B"/>
    <w:rsid w:val="53866166"/>
    <w:rsid w:val="53E27405"/>
    <w:rsid w:val="54090B2A"/>
    <w:rsid w:val="54B20F72"/>
    <w:rsid w:val="54B82E4B"/>
    <w:rsid w:val="54FD6961"/>
    <w:rsid w:val="550A1849"/>
    <w:rsid w:val="551B6DA4"/>
    <w:rsid w:val="55340EE1"/>
    <w:rsid w:val="556B7523"/>
    <w:rsid w:val="55BD5204"/>
    <w:rsid w:val="56006F4E"/>
    <w:rsid w:val="560E354A"/>
    <w:rsid w:val="57057BAE"/>
    <w:rsid w:val="57684EDC"/>
    <w:rsid w:val="577B5D8A"/>
    <w:rsid w:val="57893085"/>
    <w:rsid w:val="58346DC4"/>
    <w:rsid w:val="597A34A2"/>
    <w:rsid w:val="59822333"/>
    <w:rsid w:val="59D76D95"/>
    <w:rsid w:val="59F20F41"/>
    <w:rsid w:val="5B302D4D"/>
    <w:rsid w:val="5B7E082A"/>
    <w:rsid w:val="5C2B6D59"/>
    <w:rsid w:val="5C8B41AB"/>
    <w:rsid w:val="5D245C48"/>
    <w:rsid w:val="5D423AD9"/>
    <w:rsid w:val="5D646D9A"/>
    <w:rsid w:val="5DB6074F"/>
    <w:rsid w:val="5EA82788"/>
    <w:rsid w:val="5F0A4C2A"/>
    <w:rsid w:val="5F220A41"/>
    <w:rsid w:val="5F23318E"/>
    <w:rsid w:val="5F264AF1"/>
    <w:rsid w:val="5FDF615F"/>
    <w:rsid w:val="608F40A8"/>
    <w:rsid w:val="609355AC"/>
    <w:rsid w:val="60957D19"/>
    <w:rsid w:val="609B040A"/>
    <w:rsid w:val="61654438"/>
    <w:rsid w:val="61C86D4A"/>
    <w:rsid w:val="626A7D5A"/>
    <w:rsid w:val="62807BBC"/>
    <w:rsid w:val="62BB5EA5"/>
    <w:rsid w:val="62C751AC"/>
    <w:rsid w:val="63193E36"/>
    <w:rsid w:val="63844E4C"/>
    <w:rsid w:val="638A48B7"/>
    <w:rsid w:val="64852C29"/>
    <w:rsid w:val="64AE59F6"/>
    <w:rsid w:val="650247CF"/>
    <w:rsid w:val="65B56C0B"/>
    <w:rsid w:val="65C97631"/>
    <w:rsid w:val="65F21AB3"/>
    <w:rsid w:val="66251B68"/>
    <w:rsid w:val="66664CDC"/>
    <w:rsid w:val="66E86DEB"/>
    <w:rsid w:val="67127912"/>
    <w:rsid w:val="6732221A"/>
    <w:rsid w:val="674D1342"/>
    <w:rsid w:val="681B4A8F"/>
    <w:rsid w:val="6849021F"/>
    <w:rsid w:val="687A3C05"/>
    <w:rsid w:val="68940414"/>
    <w:rsid w:val="69553B4D"/>
    <w:rsid w:val="69724AD7"/>
    <w:rsid w:val="698F2F8F"/>
    <w:rsid w:val="699A7177"/>
    <w:rsid w:val="699F771D"/>
    <w:rsid w:val="6AD06BC8"/>
    <w:rsid w:val="6AF62604"/>
    <w:rsid w:val="6B030D4C"/>
    <w:rsid w:val="6B807383"/>
    <w:rsid w:val="6BBD6062"/>
    <w:rsid w:val="6BE74E19"/>
    <w:rsid w:val="6C001E4A"/>
    <w:rsid w:val="6C0E785F"/>
    <w:rsid w:val="6CD37D36"/>
    <w:rsid w:val="6D6F26C8"/>
    <w:rsid w:val="6E18382A"/>
    <w:rsid w:val="6E2A65EF"/>
    <w:rsid w:val="6E625D89"/>
    <w:rsid w:val="6E7A5F61"/>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96487C"/>
    <w:rsid w:val="73D0382F"/>
    <w:rsid w:val="745C32DA"/>
    <w:rsid w:val="74B66E2F"/>
    <w:rsid w:val="74CE6A7E"/>
    <w:rsid w:val="74EE6617"/>
    <w:rsid w:val="753A180E"/>
    <w:rsid w:val="756276E8"/>
    <w:rsid w:val="75734D20"/>
    <w:rsid w:val="75864A53"/>
    <w:rsid w:val="759F2DD4"/>
    <w:rsid w:val="75B77661"/>
    <w:rsid w:val="760834D9"/>
    <w:rsid w:val="76BF43FB"/>
    <w:rsid w:val="788460D8"/>
    <w:rsid w:val="78B6564F"/>
    <w:rsid w:val="78EA354B"/>
    <w:rsid w:val="795B4B05"/>
    <w:rsid w:val="796D2967"/>
    <w:rsid w:val="79B55907"/>
    <w:rsid w:val="79CD5CEC"/>
    <w:rsid w:val="7A592736"/>
    <w:rsid w:val="7AA240DD"/>
    <w:rsid w:val="7AA37E55"/>
    <w:rsid w:val="7B3B7919"/>
    <w:rsid w:val="7B683833"/>
    <w:rsid w:val="7B6F7CF7"/>
    <w:rsid w:val="7BA07972"/>
    <w:rsid w:val="7C1E5B11"/>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4">
    <w:name w:val="heading 1"/>
    <w:basedOn w:val="1"/>
    <w:next w:val="5"/>
    <w:link w:val="21"/>
    <w:autoRedefine/>
    <w:qFormat/>
    <w:uiPriority w:val="99"/>
    <w:pPr>
      <w:spacing w:before="159" w:after="153" w:line="554" w:lineRule="atLeast"/>
      <w:ind w:firstLine="0"/>
      <w:jc w:val="center"/>
      <w:outlineLvl w:val="0"/>
    </w:pPr>
    <w:rPr>
      <w:rFonts w:ascii="Arial" w:hAnsi="Arial" w:eastAsia="黑体" w:cs="Arial"/>
      <w:sz w:val="32"/>
      <w:szCs w:val="32"/>
    </w:rPr>
  </w:style>
  <w:style w:type="paragraph" w:styleId="5">
    <w:name w:val="heading 2"/>
    <w:basedOn w:val="1"/>
    <w:next w:val="6"/>
    <w:link w:val="22"/>
    <w:autoRedefine/>
    <w:qFormat/>
    <w:uiPriority w:val="99"/>
    <w:pPr>
      <w:spacing w:line="519" w:lineRule="atLeast"/>
      <w:ind w:firstLine="0"/>
      <w:jc w:val="center"/>
      <w:outlineLvl w:val="1"/>
    </w:pPr>
    <w:rPr>
      <w:sz w:val="28"/>
      <w:szCs w:val="28"/>
    </w:rPr>
  </w:style>
  <w:style w:type="paragraph" w:styleId="6">
    <w:name w:val="heading 3"/>
    <w:basedOn w:val="1"/>
    <w:next w:val="1"/>
    <w:link w:val="23"/>
    <w:autoRedefine/>
    <w:qFormat/>
    <w:uiPriority w:val="99"/>
    <w:pPr>
      <w:spacing w:before="176" w:after="102"/>
      <w:ind w:firstLine="0"/>
      <w:outlineLvl w:val="2"/>
    </w:pPr>
    <w:rPr>
      <w:rFonts w:eastAsia="黑体"/>
    </w:rPr>
  </w:style>
  <w:style w:type="character" w:default="1" w:styleId="17">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ody Text First Indent"/>
    <w:next w:val="3"/>
    <w:autoRedefine/>
    <w:qFormat/>
    <w:locked/>
    <w:uiPriority w:val="0"/>
    <w:pPr>
      <w:widowControl w:val="0"/>
      <w:spacing w:after="120"/>
      <w:ind w:firstLine="420" w:firstLineChars="100"/>
      <w:jc w:val="both"/>
    </w:pPr>
    <w:rPr>
      <w:rFonts w:ascii="Calibri" w:hAnsi="Calibri" w:eastAsia="宋体" w:cs="黑体"/>
      <w:kern w:val="2"/>
      <w:sz w:val="21"/>
      <w:szCs w:val="24"/>
      <w:lang w:val="en-US" w:eastAsia="zh-CN" w:bidi="ar-SA"/>
    </w:rPr>
  </w:style>
  <w:style w:type="paragraph" w:styleId="3">
    <w:name w:val="header"/>
    <w:basedOn w:val="1"/>
    <w:link w:val="26"/>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3"/>
    <w:basedOn w:val="1"/>
    <w:next w:val="1"/>
    <w:autoRedefine/>
    <w:semiHidden/>
    <w:qFormat/>
    <w:uiPriority w:val="99"/>
    <w:pPr>
      <w:spacing w:line="548" w:lineRule="atLeast"/>
    </w:pPr>
  </w:style>
  <w:style w:type="paragraph" w:styleId="8">
    <w:name w:val="Date"/>
    <w:basedOn w:val="1"/>
    <w:next w:val="1"/>
    <w:link w:val="24"/>
    <w:autoRedefine/>
    <w:qFormat/>
    <w:uiPriority w:val="99"/>
    <w:pPr>
      <w:ind w:left="100" w:leftChars="2500"/>
    </w:p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toc 1"/>
    <w:basedOn w:val="1"/>
    <w:next w:val="1"/>
    <w:autoRedefine/>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autoRedefine/>
    <w:semiHidden/>
    <w:qFormat/>
    <w:uiPriority w:val="99"/>
    <w:pPr>
      <w:spacing w:line="548" w:lineRule="atLeast"/>
      <w:ind w:firstLine="630"/>
    </w:pPr>
  </w:style>
  <w:style w:type="paragraph" w:styleId="12">
    <w:name w:val="toc 2"/>
    <w:basedOn w:val="1"/>
    <w:next w:val="1"/>
    <w:autoRedefine/>
    <w:semiHidden/>
    <w:qFormat/>
    <w:uiPriority w:val="99"/>
    <w:pPr>
      <w:spacing w:line="548" w:lineRule="atLeast"/>
      <w:ind w:firstLine="210"/>
    </w:pPr>
  </w:style>
  <w:style w:type="paragraph" w:styleId="13">
    <w:name w:val="Normal (Web)"/>
    <w:basedOn w:val="1"/>
    <w:autoRedefine/>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autoRedefine/>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4"/>
    <w:autoRedefine/>
    <w:qFormat/>
    <w:uiPriority w:val="99"/>
    <w:pPr>
      <w:spacing w:before="104" w:after="104" w:line="240" w:lineRule="atLeast"/>
      <w:ind w:firstLine="0"/>
      <w:jc w:val="center"/>
    </w:pPr>
    <w:rPr>
      <w:sz w:val="36"/>
      <w:szCs w:val="36"/>
    </w:rPr>
  </w:style>
  <w:style w:type="character" w:styleId="18">
    <w:name w:val="Strong"/>
    <w:basedOn w:val="17"/>
    <w:autoRedefine/>
    <w:qFormat/>
    <w:uiPriority w:val="22"/>
    <w:rPr>
      <w:b/>
      <w:bCs/>
    </w:rPr>
  </w:style>
  <w:style w:type="character" w:styleId="19">
    <w:name w:val="page number"/>
    <w:basedOn w:val="17"/>
    <w:autoRedefine/>
    <w:qFormat/>
    <w:uiPriority w:val="99"/>
    <w:rPr>
      <w:rFonts w:cs="Times New Roman"/>
    </w:rPr>
  </w:style>
  <w:style w:type="character" w:styleId="20">
    <w:name w:val="Hyperlink"/>
    <w:basedOn w:val="17"/>
    <w:autoRedefine/>
    <w:qFormat/>
    <w:uiPriority w:val="99"/>
    <w:rPr>
      <w:rFonts w:cs="Times New Roman"/>
      <w:color w:val="0000FF"/>
      <w:u w:val="single"/>
    </w:rPr>
  </w:style>
  <w:style w:type="character" w:customStyle="1" w:styleId="21">
    <w:name w:val="标题 1 Char"/>
    <w:basedOn w:val="17"/>
    <w:link w:val="4"/>
    <w:autoRedefine/>
    <w:qFormat/>
    <w:locked/>
    <w:uiPriority w:val="99"/>
    <w:rPr>
      <w:rFonts w:cs="Times New Roman"/>
      <w:b/>
      <w:bCs/>
      <w:color w:val="000000"/>
      <w:kern w:val="44"/>
      <w:sz w:val="44"/>
      <w:szCs w:val="44"/>
    </w:rPr>
  </w:style>
  <w:style w:type="character" w:customStyle="1" w:styleId="22">
    <w:name w:val="标题 2 Char"/>
    <w:basedOn w:val="17"/>
    <w:link w:val="5"/>
    <w:autoRedefine/>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6"/>
    <w:autoRedefine/>
    <w:semiHidden/>
    <w:qFormat/>
    <w:locked/>
    <w:uiPriority w:val="99"/>
    <w:rPr>
      <w:rFonts w:cs="Times New Roman"/>
      <w:b/>
      <w:bCs/>
      <w:color w:val="000000"/>
      <w:kern w:val="0"/>
      <w:sz w:val="32"/>
      <w:szCs w:val="32"/>
    </w:rPr>
  </w:style>
  <w:style w:type="character" w:customStyle="1" w:styleId="24">
    <w:name w:val="日期 Char"/>
    <w:basedOn w:val="17"/>
    <w:link w:val="8"/>
    <w:autoRedefine/>
    <w:semiHidden/>
    <w:qFormat/>
    <w:locked/>
    <w:uiPriority w:val="99"/>
    <w:rPr>
      <w:rFonts w:cs="Times New Roman"/>
      <w:color w:val="000000"/>
      <w:kern w:val="0"/>
      <w:sz w:val="20"/>
      <w:szCs w:val="20"/>
    </w:rPr>
  </w:style>
  <w:style w:type="character" w:customStyle="1" w:styleId="25">
    <w:name w:val="页脚 Char"/>
    <w:basedOn w:val="17"/>
    <w:link w:val="9"/>
    <w:autoRedefine/>
    <w:semiHidden/>
    <w:qFormat/>
    <w:locked/>
    <w:uiPriority w:val="99"/>
    <w:rPr>
      <w:rFonts w:cs="Times New Roman"/>
      <w:color w:val="000000"/>
      <w:kern w:val="0"/>
      <w:sz w:val="18"/>
      <w:szCs w:val="18"/>
    </w:rPr>
  </w:style>
  <w:style w:type="character" w:customStyle="1" w:styleId="26">
    <w:name w:val="页眉 Char"/>
    <w:basedOn w:val="17"/>
    <w:link w:val="3"/>
    <w:autoRedefine/>
    <w:semiHidden/>
    <w:qFormat/>
    <w:locked/>
    <w:uiPriority w:val="99"/>
    <w:rPr>
      <w:rFonts w:cs="Times New Roman"/>
      <w:color w:val="000000"/>
      <w:kern w:val="0"/>
      <w:sz w:val="18"/>
      <w:szCs w:val="18"/>
    </w:rPr>
  </w:style>
  <w:style w:type="character" w:customStyle="1" w:styleId="27">
    <w:name w:val="标题 Char"/>
    <w:basedOn w:val="17"/>
    <w:link w:val="14"/>
    <w:autoRedefine/>
    <w:qFormat/>
    <w:locked/>
    <w:uiPriority w:val="99"/>
    <w:rPr>
      <w:rFonts w:ascii="Cambria" w:hAnsi="Cambria" w:cs="Cambria"/>
      <w:b/>
      <w:bCs/>
      <w:color w:val="000000"/>
      <w:kern w:val="0"/>
      <w:sz w:val="32"/>
      <w:szCs w:val="32"/>
    </w:rPr>
  </w:style>
  <w:style w:type="character" w:customStyle="1" w:styleId="28">
    <w:name w:val="默认段落字体 Char"/>
    <w:autoRedefine/>
    <w:qFormat/>
    <w:uiPriority w:val="99"/>
    <w:rPr>
      <w:rFonts w:ascii="Times New Roman" w:hAnsi="Times New Roman" w:eastAsia="宋体"/>
      <w:color w:val="000000"/>
      <w:spacing w:val="0"/>
      <w:w w:val="100"/>
      <w:sz w:val="21"/>
      <w:vertAlign w:val="baseline"/>
    </w:rPr>
  </w:style>
  <w:style w:type="character" w:customStyle="1" w:styleId="29">
    <w:name w:val="链接"/>
    <w:basedOn w:val="17"/>
    <w:autoRedefine/>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autoRedefine/>
    <w:qFormat/>
    <w:uiPriority w:val="99"/>
    <w:rPr>
      <w:rFonts w:cs="Times New Roman"/>
      <w:color w:val="0000FF"/>
      <w:szCs w:val="21"/>
      <w:u w:val="single" w:color="0000FF"/>
    </w:rPr>
  </w:style>
  <w:style w:type="paragraph" w:customStyle="1" w:styleId="31">
    <w:name w:val="WPS Plain"/>
    <w:autoRedefine/>
    <w:qFormat/>
    <w:uiPriority w:val="99"/>
    <w:rPr>
      <w:rFonts w:ascii="Times New Roman" w:hAnsi="Times New Roman" w:eastAsia="宋体" w:cs="Times New Roman"/>
      <w:lang w:val="en-US" w:eastAsia="zh-CN" w:bidi="ar-SA"/>
    </w:rPr>
  </w:style>
  <w:style w:type="paragraph" w:customStyle="1" w:styleId="32">
    <w:name w:val="普通表格1"/>
    <w:autoRedefine/>
    <w:qFormat/>
    <w:uiPriority w:val="99"/>
    <w:rPr>
      <w:rFonts w:ascii="Times New Roman" w:hAnsi="Times New Roman" w:eastAsia="宋体" w:cs="Times New Roman"/>
      <w:lang w:val="en-US" w:eastAsia="zh-CN" w:bidi="ar-SA"/>
    </w:rPr>
  </w:style>
  <w:style w:type="paragraph" w:customStyle="1" w:styleId="33">
    <w:name w:val="目录标题"/>
    <w:basedOn w:val="1"/>
    <w:next w:val="1"/>
    <w:autoRedefine/>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autoRedefine/>
    <w:qFormat/>
    <w:uiPriority w:val="99"/>
    <w:rPr>
      <w:rFonts w:ascii="Times New Roman" w:hAnsi="Times New Roman" w:eastAsia="宋体" w:cs="Times New Roman"/>
      <w:lang w:val="en-US" w:eastAsia="zh-CN" w:bidi="ar-SA"/>
    </w:rPr>
  </w:style>
  <w:style w:type="paragraph" w:customStyle="1" w:styleId="35">
    <w:name w:val="0"/>
    <w:basedOn w:val="1"/>
    <w:autoRedefine/>
    <w:qFormat/>
    <w:uiPriority w:val="99"/>
    <w:pPr>
      <w:widowControl/>
      <w:snapToGrid w:val="0"/>
      <w:spacing w:line="240" w:lineRule="auto"/>
      <w:ind w:left="0" w:firstLine="0"/>
      <w:textAlignment w:val="auto"/>
    </w:pPr>
    <w:rPr>
      <w:color w:val="auto"/>
    </w:rPr>
  </w:style>
  <w:style w:type="paragraph" w:customStyle="1" w:styleId="36">
    <w:name w:val="文章附标题"/>
    <w:basedOn w:val="1"/>
    <w:autoRedefine/>
    <w:qFormat/>
    <w:uiPriority w:val="99"/>
    <w:pPr>
      <w:spacing w:before="187" w:after="176" w:line="607" w:lineRule="atLeast"/>
      <w:ind w:firstLine="0"/>
      <w:jc w:val="center"/>
    </w:pPr>
    <w:rPr>
      <w:sz w:val="36"/>
      <w:szCs w:val="36"/>
    </w:rPr>
  </w:style>
  <w:style w:type="paragraph" w:styleId="37">
    <w:name w:val="List Paragraph"/>
    <w:basedOn w:val="1"/>
    <w:autoRedefine/>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5713</Words>
  <Characters>6307</Characters>
  <Lines>41</Lines>
  <Paragraphs>11</Paragraphs>
  <TotalTime>40</TotalTime>
  <ScaleCrop>false</ScaleCrop>
  <LinksUpToDate>false</LinksUpToDate>
  <CharactersWithSpaces>6403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2024-06-18T02:40:32Z</cp:lastPrinted>
  <dcterms:modified xsi:type="dcterms:W3CDTF">2024-06-18T04:03:41Z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E4A251293D514D63BA8FFBE0E9CBCD09_13</vt:lpwstr>
  </property>
</Properties>
</file>