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0" w:firstLineChars="0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0" w:firstLineChars="0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0" w:firstLineChars="0"/>
        <w:jc w:val="center"/>
        <w:rPr>
          <w:rFonts w:ascii="仿宋" w:hAnsi="仿宋" w:eastAsia="仿宋" w:cs="仿宋"/>
          <w:b/>
          <w:bCs/>
          <w:color w:val="000000"/>
          <w:kern w:val="0"/>
          <w:sz w:val="52"/>
          <w:szCs w:val="5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52"/>
          <w:szCs w:val="52"/>
        </w:rPr>
        <w:t>预算绩效评价自评报告</w:t>
      </w:r>
    </w:p>
    <w:p>
      <w:pPr>
        <w:pStyle w:val="8"/>
        <w:widowControl/>
        <w:shd w:val="clear" w:color="auto" w:fill="FFFFFF"/>
        <w:ind w:firstLine="0" w:firstLineChars="0"/>
        <w:jc w:val="center"/>
        <w:rPr>
          <w:rFonts w:hint="default"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（</w:t>
      </w:r>
      <w:r>
        <w:rPr>
          <w:rFonts w:ascii="仿宋" w:hAnsi="仿宋" w:eastAsia="仿宋" w:cs="仿宋"/>
          <w:b/>
          <w:color w:val="000000"/>
          <w:sz w:val="36"/>
        </w:rPr>
        <w:t>2023</w:t>
      </w:r>
      <w:r>
        <w:rPr>
          <w:rFonts w:ascii="仿宋" w:hAnsi="仿宋" w:eastAsia="仿宋" w:cs="仿宋"/>
          <w:b/>
          <w:bCs/>
          <w:color w:val="000000"/>
          <w:sz w:val="36"/>
          <w:szCs w:val="36"/>
        </w:rPr>
        <w:t>年度）</w:t>
      </w:r>
    </w:p>
    <w:p>
      <w:pPr>
        <w:ind w:firstLine="482"/>
        <w:jc w:val="center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482"/>
        <w:jc w:val="center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482"/>
        <w:jc w:val="center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482"/>
        <w:jc w:val="center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482"/>
        <w:jc w:val="center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482"/>
        <w:jc w:val="center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482"/>
        <w:jc w:val="center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482"/>
        <w:jc w:val="center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482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482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482"/>
        <w:jc w:val="center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482"/>
        <w:jc w:val="center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482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482"/>
        <w:jc w:val="center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1606" w:firstLineChars="500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项目名称：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全国性森林、草原、湿地、荒漠综合监测补助</w:t>
      </w:r>
    </w:p>
    <w:p>
      <w:pPr>
        <w:ind w:firstLine="1606" w:firstLineChars="500"/>
        <w:rPr>
          <w:rFonts w:hint="eastAsia" w:ascii="仿宋" w:hAnsi="仿宋" w:eastAsia="仿宋" w:cs="仿宋"/>
          <w:b/>
          <w:sz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实施单位：</w:t>
      </w:r>
      <w:r>
        <w:rPr>
          <w:rFonts w:hint="eastAsia" w:ascii="仿宋" w:hAnsi="仿宋" w:eastAsia="仿宋" w:cs="仿宋"/>
          <w:b/>
          <w:sz w:val="32"/>
          <w:lang w:eastAsia="zh-CN"/>
        </w:rPr>
        <w:t>乌海市自然资源局</w:t>
      </w:r>
    </w:p>
    <w:p>
      <w:pPr>
        <w:ind w:firstLine="2891" w:firstLineChars="900"/>
        <w:rPr>
          <w:rFonts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2023年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月</w:t>
      </w:r>
    </w:p>
    <w:p>
      <w:pPr>
        <w:ind w:firstLine="482"/>
        <w:jc w:val="center"/>
        <w:rPr>
          <w:rFonts w:cs="宋体"/>
          <w:b/>
          <w:bCs/>
          <w:color w:val="000000"/>
          <w:kern w:val="0"/>
          <w:szCs w:val="24"/>
        </w:rPr>
      </w:pPr>
    </w:p>
    <w:p>
      <w:pPr>
        <w:ind w:firstLine="482"/>
        <w:jc w:val="center"/>
        <w:rPr>
          <w:rFonts w:cs="宋体"/>
          <w:b/>
          <w:bCs/>
          <w:color w:val="000000"/>
          <w:kern w:val="0"/>
          <w:szCs w:val="24"/>
        </w:rPr>
      </w:pP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620" w:lineRule="exact"/>
        <w:ind w:firstLine="880"/>
        <w:jc w:val="center"/>
        <w:rPr>
          <w:rFonts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eastAsia="方正小标宋简体"/>
          <w:sz w:val="44"/>
          <w:szCs w:val="44"/>
        </w:rPr>
        <w:t>2023</w:t>
      </w:r>
      <w:r>
        <w:rPr>
          <w:rFonts w:ascii="方正小标宋简体" w:hAnsi="方正小标宋简体" w:eastAsia="方正小标宋简体" w:cs="方正小标宋简体"/>
          <w:sz w:val="44"/>
        </w:rPr>
        <w:t>年</w:t>
      </w:r>
      <w:r>
        <w:rPr>
          <w:rFonts w:hint="eastAsia" w:ascii="方正小标宋简体" w:hAnsi="方正小标宋简体" w:eastAsia="方正小标宋简体" w:cs="方正小标宋简体"/>
          <w:sz w:val="44"/>
        </w:rPr>
        <w:t>全国性森林、草原、湿地、荒漠综合监测补助</w:t>
      </w:r>
      <w:r>
        <w:rPr>
          <w:rFonts w:ascii="方正小标宋简体" w:hAnsi="方正小标宋简体" w:eastAsia="方正小标宋简体" w:cs="方正小标宋简体"/>
          <w:sz w:val="44"/>
        </w:rPr>
        <w:t>项目绩效自评报告</w:t>
      </w:r>
    </w:p>
    <w:p>
      <w:pPr>
        <w:pStyle w:val="9"/>
        <w:ind w:left="480" w:firstLine="482"/>
      </w:pPr>
    </w:p>
    <w:p>
      <w:pPr>
        <w:numPr>
          <w:ilvl w:val="0"/>
          <w:numId w:val="2"/>
        </w:numPr>
        <w:spacing w:line="240" w:lineRule="auto"/>
        <w:ind w:left="0" w:firstLine="0" w:firstLine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项目基本情况</w:t>
      </w:r>
    </w:p>
    <w:p>
      <w:pPr>
        <w:widowControl/>
        <w:autoSpaceDE w:val="0"/>
        <w:autoSpaceDN w:val="0"/>
        <w:spacing w:line="560" w:lineRule="exact"/>
        <w:ind w:firstLine="640"/>
        <w:jc w:val="left"/>
        <w:outlineLvl w:val="1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（一）项目基本情况简介</w:t>
      </w:r>
    </w:p>
    <w:p>
      <w:pPr>
        <w:widowControl/>
        <w:ind w:firstLine="640"/>
        <w:jc w:val="left"/>
      </w:pPr>
      <w:r>
        <w:rPr>
          <w:rFonts w:hint="eastAsia" w:ascii="仿宋_GB2312" w:hAnsi="仿宋_GB2312" w:eastAsia="仿宋_GB2312" w:cs="仿宋_GB2312"/>
          <w:sz w:val="32"/>
          <w:szCs w:val="32"/>
        </w:rPr>
        <w:t>为做好全区草原监测工作，科学评价草原生态状况，严格草原监视管理，指导草原保护建设和合理利用，保护草原生态环境，通过采集草原地面样地监测数据、监测站监测数据，全面监测全区草原资源存量、利用状况、草原植被生长等状况，监控草原利用用途，掌握草原生长状况等动态信息，科学分析与评估草原生态现状与变化状况。</w:t>
      </w:r>
    </w:p>
    <w:p>
      <w:pPr>
        <w:widowControl/>
        <w:ind w:firstLine="64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内蒙古自治区林业和草原部门以内蒙古自治区财政厅《关于下达</w:t>
      </w:r>
      <w:r>
        <w:rPr>
          <w:rFonts w:ascii="仿宋_GB2312" w:hAnsi="仿宋_GB2312" w:eastAsia="仿宋_GB2312" w:cs="仿宋_GB2312"/>
          <w:sz w:val="32"/>
          <w:szCs w:val="32"/>
        </w:rPr>
        <w:t>2023年中央财政林业草原改革发展资金预算的通知</w:t>
      </w:r>
      <w:r>
        <w:rPr>
          <w:rFonts w:hint="eastAsia" w:ascii="仿宋_GB2312" w:hAnsi="仿宋_GB2312" w:eastAsia="仿宋_GB2312" w:cs="仿宋_GB2312"/>
          <w:sz w:val="32"/>
          <w:szCs w:val="32"/>
        </w:rPr>
        <w:t>》（内财资环〔</w:t>
      </w:r>
      <w:r>
        <w:rPr>
          <w:rFonts w:ascii="仿宋_GB2312" w:hAnsi="仿宋_GB2312" w:eastAsia="仿宋_GB2312" w:cs="仿宋_GB2312"/>
          <w:sz w:val="32"/>
          <w:szCs w:val="32"/>
        </w:rPr>
        <w:t>2023〕1050号</w:t>
      </w:r>
      <w:r>
        <w:rPr>
          <w:rFonts w:hint="eastAsia" w:ascii="仿宋_GB2312" w:hAnsi="仿宋_GB2312" w:eastAsia="仿宋_GB2312" w:cs="仿宋_GB2312"/>
          <w:sz w:val="32"/>
          <w:szCs w:val="32"/>
        </w:rPr>
        <w:t>）文件下达我单位中央转移支付专项资金-全国性森林、草原、湿地、荒漠综合监测补助13万元。</w:t>
      </w:r>
    </w:p>
    <w:p>
      <w:pPr>
        <w:widowControl/>
        <w:ind w:firstLine="640"/>
        <w:jc w:val="left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（二）绩效目标设定及指标完成情况</w:t>
      </w:r>
    </w:p>
    <w:p>
      <w:pPr>
        <w:widowControl/>
        <w:ind w:firstLine="644"/>
        <w:jc w:val="left"/>
        <w:rPr>
          <w:rFonts w:ascii="仿宋_GB2312" w:hAnsi="仿宋_GB2312" w:eastAsia="仿宋_GB2312" w:cs="仿宋_GB2312"/>
          <w:spacing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预期目标：开展全国性森林、草原、湿地、荒漠生态监测，完成图斑监测数量</w:t>
      </w:r>
      <w:r>
        <w:rPr>
          <w:rFonts w:ascii="仿宋_GB2312" w:hAnsi="仿宋_GB2312" w:eastAsia="仿宋_GB2312" w:cs="仿宋_GB2312"/>
          <w:spacing w:val="1"/>
          <w:sz w:val="32"/>
          <w:szCs w:val="32"/>
        </w:rPr>
        <w:t>534个。</w:t>
      </w:r>
    </w:p>
    <w:p>
      <w:pPr>
        <w:widowControl/>
        <w:ind w:firstLine="644"/>
        <w:jc w:val="left"/>
        <w:rPr>
          <w:rFonts w:ascii="仿宋_GB2312" w:hAnsi="仿宋_GB2312" w:eastAsia="仿宋_GB2312" w:cs="仿宋_GB2312"/>
          <w:spacing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绩效目标实际完成情况：完成全国性林草湿荒综合监测项目图斑监测数量</w:t>
      </w:r>
      <w:r>
        <w:rPr>
          <w:rFonts w:ascii="仿宋_GB2312" w:hAnsi="仿宋_GB2312" w:eastAsia="仿宋_GB2312" w:cs="仿宋_GB2312"/>
          <w:spacing w:val="1"/>
          <w:sz w:val="32"/>
          <w:szCs w:val="32"/>
        </w:rPr>
        <w:t>534个，保障本年度监测工作顺利完成。</w:t>
      </w:r>
    </w:p>
    <w:p>
      <w:pPr>
        <w:spacing w:line="240" w:lineRule="auto"/>
        <w:ind w:firstLine="64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二、绩效自评工作情况</w:t>
      </w:r>
    </w:p>
    <w:p>
      <w:pPr>
        <w:widowControl/>
        <w:numPr>
          <w:ilvl w:val="0"/>
          <w:numId w:val="3"/>
        </w:numPr>
        <w:autoSpaceDE w:val="0"/>
        <w:autoSpaceDN w:val="0"/>
        <w:spacing w:line="560" w:lineRule="exact"/>
        <w:ind w:firstLine="640" w:firstLineChars="0"/>
        <w:jc w:val="left"/>
        <w:outlineLvl w:val="1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绩效自评目的</w:t>
      </w:r>
    </w:p>
    <w:p>
      <w:pPr>
        <w:widowControl/>
        <w:autoSpaceDE w:val="0"/>
        <w:autoSpaceDN w:val="0"/>
        <w:spacing w:line="560" w:lineRule="exact"/>
        <w:ind w:firstLine="644"/>
        <w:jc w:val="left"/>
        <w:outlineLvl w:val="1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绩效评价是指通过运用多种多样的方法，采用一定的衡量标准对项目完成既定的目标的实现程度进行考核。项目绩效自评的目的在于通过绩效自评来检查部门的工作质量，监督是否做到了有效的绩效评价。在绩效自评工作开展过程中，通过自评找出问题，解决问题，从中更好的认识到项目开展中的问题，积极思考改善和提高工作质量与效率。对项目绩效管理制定的计划实施、绩效结果应用、绩效目标提升的进行评估。更是为了改进工作，并准确接受第三方的评估。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cr/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 xml:space="preserve">    （二）</w:t>
      </w: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绩效自评工作过程</w:t>
      </w:r>
    </w:p>
    <w:p>
      <w:pPr>
        <w:pStyle w:val="2"/>
        <w:numPr>
          <w:ilvl w:val="0"/>
          <w:numId w:val="4"/>
        </w:numPr>
        <w:ind w:firstLine="672"/>
        <w:rPr>
          <w:rFonts w:hAnsi="仿宋_GB2312" w:eastAsia="仿宋_GB2312"/>
          <w:spacing w:val="8"/>
          <w:kern w:val="2"/>
          <w:sz w:val="32"/>
          <w:szCs w:val="32"/>
        </w:rPr>
      </w:pPr>
      <w:r>
        <w:rPr>
          <w:rFonts w:hint="eastAsia" w:hAnsi="仿宋_GB2312" w:eastAsia="仿宋_GB2312"/>
          <w:spacing w:val="8"/>
          <w:kern w:val="2"/>
          <w:sz w:val="32"/>
          <w:szCs w:val="32"/>
        </w:rPr>
        <w:t>准备阶段：根据项目实际情况，制定项目绩效目标。</w:t>
      </w:r>
    </w:p>
    <w:p>
      <w:pPr>
        <w:pStyle w:val="2"/>
        <w:numPr>
          <w:ilvl w:val="0"/>
          <w:numId w:val="4"/>
        </w:numPr>
        <w:ind w:firstLine="672"/>
        <w:rPr>
          <w:rFonts w:hAnsi="仿宋_GB2312" w:eastAsia="仿宋_GB2312"/>
          <w:spacing w:val="8"/>
          <w:kern w:val="2"/>
          <w:sz w:val="32"/>
          <w:szCs w:val="32"/>
        </w:rPr>
      </w:pPr>
      <w:r>
        <w:rPr>
          <w:rFonts w:hint="eastAsia" w:hAnsi="仿宋_GB2312" w:eastAsia="仿宋_GB2312"/>
          <w:spacing w:val="8"/>
          <w:kern w:val="2"/>
          <w:sz w:val="32"/>
          <w:szCs w:val="32"/>
        </w:rPr>
        <w:t>实施阶段：根据项目绩效目标，收集整理相关绩效评价资料，对前期设置的项目绩效目标进行自评。</w:t>
      </w:r>
    </w:p>
    <w:p>
      <w:pPr>
        <w:pStyle w:val="2"/>
        <w:numPr>
          <w:ilvl w:val="0"/>
          <w:numId w:val="4"/>
        </w:numPr>
        <w:ind w:firstLine="672"/>
        <w:rPr>
          <w:rFonts w:hAnsi="仿宋_GB2312" w:eastAsia="仿宋_GB2312"/>
          <w:spacing w:val="1"/>
          <w:sz w:val="32"/>
          <w:szCs w:val="32"/>
        </w:rPr>
      </w:pPr>
      <w:r>
        <w:rPr>
          <w:rFonts w:hint="eastAsia" w:hAnsi="仿宋_GB2312" w:eastAsia="仿宋_GB2312"/>
          <w:spacing w:val="8"/>
          <w:kern w:val="2"/>
          <w:sz w:val="32"/>
          <w:szCs w:val="32"/>
        </w:rPr>
        <w:t>总结阶段：根据项目自评结果，编写项目绩效自评报告。</w:t>
      </w:r>
    </w:p>
    <w:p>
      <w:pPr>
        <w:widowControl/>
        <w:ind w:firstLine="640"/>
        <w:jc w:val="left"/>
        <w:rPr>
          <w:rFonts w:ascii="黑体" w:hAnsi="黑体" w:eastAsia="黑体" w:cs="黑体"/>
          <w:bCs/>
          <w:spacing w:val="1"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三、项目资金管理</w:t>
      </w:r>
    </w:p>
    <w:p>
      <w:pPr>
        <w:widowControl/>
        <w:autoSpaceDE w:val="0"/>
        <w:autoSpaceDN w:val="0"/>
        <w:spacing w:line="560" w:lineRule="exact"/>
        <w:ind w:left="630" w:firstLine="0" w:firstLineChars="0"/>
        <w:jc w:val="left"/>
        <w:outlineLvl w:val="1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（一）项目资金投入情况</w:t>
      </w:r>
    </w:p>
    <w:p>
      <w:pPr>
        <w:widowControl/>
        <w:ind w:firstLine="644"/>
        <w:jc w:val="left"/>
        <w:rPr>
          <w:rFonts w:ascii="仿宋_GB2312" w:hAnsi="仿宋_GB2312" w:eastAsia="仿宋_GB2312" w:cs="仿宋_GB2312"/>
          <w:spacing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本年度资金年初预算数13.00万元，其中：中央财政拨款13.00万元，地方资金0.00万元。</w:t>
      </w:r>
    </w:p>
    <w:p>
      <w:pPr>
        <w:widowControl/>
        <w:ind w:firstLine="644"/>
        <w:jc w:val="left"/>
        <w:rPr>
          <w:rFonts w:ascii="仿宋_GB2312" w:hAnsi="仿宋_GB2312" w:eastAsia="仿宋_GB2312" w:cs="仿宋_GB2312"/>
          <w:spacing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本年度资金全年预算数13.00万元，其中：中央财政拨款13.00万元，地方资金0.00万元。</w:t>
      </w:r>
    </w:p>
    <w:p>
      <w:pPr>
        <w:widowControl/>
        <w:ind w:firstLine="644"/>
        <w:jc w:val="left"/>
        <w:rPr>
          <w:rFonts w:ascii="仿宋_GB2312" w:hAnsi="仿宋_GB2312" w:eastAsia="仿宋_GB2312" w:cs="仿宋_GB2312"/>
          <w:spacing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本年度资金全年执行数13.00万元，其中：中央财政拨款13.00万元，地方资金0.00万元。</w:t>
      </w:r>
    </w:p>
    <w:p>
      <w:pPr>
        <w:widowControl/>
        <w:numPr>
          <w:ilvl w:val="0"/>
          <w:numId w:val="3"/>
        </w:numPr>
        <w:autoSpaceDE w:val="0"/>
        <w:autoSpaceDN w:val="0"/>
        <w:spacing w:line="560" w:lineRule="exact"/>
        <w:ind w:firstLine="640" w:firstLineChars="0"/>
        <w:jc w:val="left"/>
        <w:outlineLvl w:val="1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项目实施情况</w:t>
      </w:r>
    </w:p>
    <w:p>
      <w:pPr>
        <w:ind w:firstLine="640"/>
        <w:rPr>
          <w:rFonts w:ascii="仿宋_GB2312" w:hAnsi="仿宋_GB2312" w:eastAsia="仿宋" w:cs="仿宋_GB2312"/>
          <w:sz w:val="32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28"/>
        </w:rPr>
        <w:t>完成全国性林草湿荒综合监测项目图斑监测数量</w:t>
      </w:r>
      <w:r>
        <w:rPr>
          <w:rFonts w:ascii="仿宋_GB2312" w:hAnsi="仿宋_GB2312" w:eastAsia="仿宋_GB2312" w:cs="仿宋_GB2312"/>
          <w:sz w:val="32"/>
          <w:szCs w:val="28"/>
        </w:rPr>
        <w:t>534个，保障本年度监测工作顺利完成。</w:t>
      </w:r>
    </w:p>
    <w:p>
      <w:pPr>
        <w:widowControl/>
        <w:numPr>
          <w:ilvl w:val="0"/>
          <w:numId w:val="3"/>
        </w:numPr>
        <w:autoSpaceDE w:val="0"/>
        <w:autoSpaceDN w:val="0"/>
        <w:spacing w:line="560" w:lineRule="exact"/>
        <w:ind w:firstLine="640" w:firstLineChars="0"/>
        <w:jc w:val="left"/>
        <w:outlineLvl w:val="1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项目资金产出情况</w:t>
      </w:r>
    </w:p>
    <w:p>
      <w:pPr>
        <w:widowControl/>
        <w:spacing w:line="560" w:lineRule="exact"/>
        <w:ind w:firstLine="672"/>
        <w:jc w:val="left"/>
        <w:rPr>
          <w:rFonts w:ascii="仿宋_GB2312" w:hAnsi="仿宋_GB2312" w:eastAsia="仿宋_GB2312" w:cs="仿宋_GB2312"/>
          <w:spacing w:val="1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项目资金截至评价期，共计支出13万元，用于</w:t>
      </w:r>
      <w:r>
        <w:rPr>
          <w:rFonts w:hint="eastAsia" w:ascii="仿宋_GB2312" w:hAnsi="仿宋_GB2312" w:eastAsia="仿宋_GB2312" w:cs="仿宋_GB2312"/>
          <w:sz w:val="32"/>
          <w:szCs w:val="32"/>
        </w:rPr>
        <w:t>全国性森林、草原、湿地、荒漠综合监测支出，</w:t>
      </w: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全部为中央财政林业草原改革发展资金。</w:t>
      </w:r>
    </w:p>
    <w:p>
      <w:pPr>
        <w:widowControl/>
        <w:autoSpaceDE w:val="0"/>
        <w:autoSpaceDN w:val="0"/>
        <w:spacing w:line="560" w:lineRule="exact"/>
        <w:ind w:firstLine="640"/>
        <w:jc w:val="left"/>
        <w:outlineLvl w:val="1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（四）项目资金管理情况</w:t>
      </w:r>
    </w:p>
    <w:p>
      <w:pPr>
        <w:widowControl/>
        <w:ind w:firstLine="644"/>
        <w:jc w:val="left"/>
        <w:rPr>
          <w:rFonts w:ascii="仿宋_GB2312" w:hAnsi="仿宋_GB2312" w:eastAsia="仿宋_GB2312" w:cs="仿宋_GB2312"/>
          <w:spacing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项目资金按照国家有关资金管理办法进行单独建账，单独核算；设立总账和明细账，根据实施方案内容项目设置专栏，详细核算项目支出情况，有关会计凭证规范，所有支出都有合法票据并附施工合同和工程验收报告等，严禁挤占、挪用、截留，项目建设工作小组同上级主管部门对项目资金实行跟踪审计，加强资金使用情况监督，保证资金合理配置和充分使用，提高使用效益。</w:t>
      </w:r>
    </w:p>
    <w:p>
      <w:pPr>
        <w:spacing w:line="240" w:lineRule="auto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四、项目绩效情况</w:t>
      </w:r>
    </w:p>
    <w:p>
      <w:pPr>
        <w:widowControl/>
        <w:autoSpaceDE w:val="0"/>
        <w:autoSpaceDN w:val="0"/>
        <w:spacing w:line="560" w:lineRule="exact"/>
        <w:ind w:firstLine="640"/>
        <w:jc w:val="left"/>
        <w:outlineLvl w:val="1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(一) 产出指标完成情况</w:t>
      </w:r>
    </w:p>
    <w:p>
      <w:pPr>
        <w:spacing w:line="620" w:lineRule="exact"/>
        <w:ind w:left="480" w:leftChars="200"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1.数量指标</w:t>
      </w:r>
    </w:p>
    <w:p>
      <w:p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（1）全国性林草湿荒综合监测项目图斑监测数量</w:t>
      </w:r>
      <w:r>
        <w:rPr>
          <w:rFonts w:ascii="仿宋_GB2312" w:hAnsi="仿宋_GB2312" w:eastAsia="仿宋_GB2312" w:cs="仿宋_GB2312"/>
          <w:sz w:val="32"/>
          <w:szCs w:val="32"/>
        </w:rPr>
        <w:t>(个)</w:t>
      </w:r>
    </w:p>
    <w:p>
      <w:p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目标值等于534个，实际完成值534个，分值20分，得分20分。自治区下达乌海市全国性林草湿荒综合监测项目图斑监测数量</w:t>
      </w:r>
      <w:r>
        <w:rPr>
          <w:rFonts w:ascii="仿宋_GB2312" w:hAnsi="仿宋_GB2312" w:eastAsia="仿宋_GB2312" w:cs="仿宋_GB2312"/>
          <w:sz w:val="32"/>
          <w:szCs w:val="32"/>
        </w:rPr>
        <w:t>534个</w:t>
      </w:r>
      <w:r>
        <w:rPr>
          <w:rFonts w:hint="eastAsia" w:ascii="仿宋_GB2312" w:hAnsi="仿宋_GB2312" w:eastAsia="仿宋_GB2312" w:cs="仿宋_GB2312"/>
          <w:sz w:val="32"/>
          <w:szCs w:val="32"/>
        </w:rPr>
        <w:t>，其中海勃湾区222个、海南区254个、乌达区48个。</w:t>
      </w:r>
    </w:p>
    <w:p>
      <w:pPr>
        <w:spacing w:line="620" w:lineRule="exact"/>
        <w:ind w:left="480" w:leftChars="200"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2.质量指标</w:t>
      </w:r>
    </w:p>
    <w:p>
      <w:p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（1）林草湿荒综合监测数据入库率</w:t>
      </w:r>
    </w:p>
    <w:p>
      <w:p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目标值大于等于</w:t>
      </w:r>
      <w:r>
        <w:rPr>
          <w:rFonts w:ascii="仿宋_GB2312" w:hAnsi="仿宋_GB2312" w:eastAsia="仿宋_GB2312" w:cs="仿宋_GB2312"/>
          <w:sz w:val="32"/>
          <w:szCs w:val="32"/>
        </w:rPr>
        <w:t>9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  <w:r>
        <w:rPr>
          <w:rFonts w:ascii="仿宋_GB2312" w:hAnsi="仿宋_GB2312" w:eastAsia="仿宋_GB2312" w:cs="仿宋_GB2312"/>
          <w:sz w:val="32"/>
          <w:szCs w:val="32"/>
        </w:rPr>
        <w:t>%，实际完成值9</w:t>
      </w:r>
      <w:r>
        <w:rPr>
          <w:rFonts w:hint="eastAsia" w:ascii="仿宋_GB2312" w:hAnsi="仿宋_GB2312" w:eastAsia="仿宋_GB2312" w:cs="仿宋_GB2312"/>
          <w:sz w:val="32"/>
          <w:szCs w:val="32"/>
        </w:rPr>
        <w:t>9</w:t>
      </w:r>
      <w:r>
        <w:rPr>
          <w:rFonts w:ascii="仿宋_GB2312" w:hAnsi="仿宋_GB2312" w:eastAsia="仿宋_GB2312" w:cs="仿宋_GB2312"/>
          <w:sz w:val="32"/>
          <w:szCs w:val="32"/>
        </w:rPr>
        <w:t>%，分值5分，得分5分。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</w:t>
      </w:r>
      <w:r>
        <w:rPr>
          <w:rFonts w:ascii="仿宋_GB2312" w:hAnsi="仿宋_GB2312" w:eastAsia="仿宋_GB2312" w:cs="仿宋_GB2312"/>
          <w:sz w:val="32"/>
          <w:szCs w:val="32"/>
        </w:rPr>
        <w:t>9月委托第三方开展图斑监测，历时1个月保障当年监测图斑全部入库。</w:t>
      </w:r>
    </w:p>
    <w:p>
      <w:p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（2）林草湿荒综合监测数据准确率</w:t>
      </w:r>
    </w:p>
    <w:p>
      <w:pPr>
        <w:spacing w:line="620" w:lineRule="exact"/>
        <w:ind w:firstLine="640"/>
        <w:rPr>
          <w:rFonts w:ascii="仿宋_GB2312" w:hAnsi="仿宋_GB2312" w:eastAsia="仿宋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标值大于等于90%，实际完成值96%，分值5分，得分5分。通过委托第三方开展图斑监测，了解摸清全区林地资源的种类、数量、结构、分布、质量、功能、保护与利用状况及其变化趋势，按质按量完成了本年度林地图斑监测工作。</w:t>
      </w:r>
    </w:p>
    <w:p>
      <w:pPr>
        <w:spacing w:line="620" w:lineRule="exact"/>
        <w:ind w:left="480" w:leftChars="200"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3.时效指标</w:t>
      </w:r>
    </w:p>
    <w:p>
      <w:p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（1）林草湿荒综合监测当期任务完成率</w:t>
      </w:r>
    </w:p>
    <w:p>
      <w:pPr>
        <w:spacing w:line="620" w:lineRule="exact"/>
        <w:ind w:firstLine="640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目标值大于等于90%，实际完成值100%，分值5分，得分5分。</w:t>
      </w:r>
      <w:r>
        <w:rPr>
          <w:rFonts w:ascii="仿宋_GB2312" w:hAnsi="仿宋_GB2312" w:eastAsia="仿宋_GB2312" w:cs="仿宋_GB2312"/>
          <w:sz w:val="32"/>
          <w:szCs w:val="28"/>
        </w:rPr>
        <w:t>通过委托第三方开展图斑监测，历时1个月保障当年监测工作全部完成。</w:t>
      </w:r>
    </w:p>
    <w:p>
      <w:p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（2）林草湿荒综合监测入库时间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目标值无</w:t>
      </w:r>
      <w:r>
        <w:rPr>
          <w:rFonts w:ascii="仿宋_GB2312" w:hAnsi="仿宋_GB2312" w:eastAsia="仿宋_GB2312" w:cs="仿宋_GB2312"/>
          <w:sz w:val="32"/>
          <w:szCs w:val="32"/>
        </w:rPr>
        <w:t>，实际完成1</w:t>
      </w:r>
      <w:r>
        <w:rPr>
          <w:rFonts w:hint="eastAsia" w:ascii="仿宋_GB2312" w:hAnsi="仿宋_GB2312" w:eastAsia="仿宋_GB2312" w:cs="仿宋_GB2312"/>
          <w:sz w:val="32"/>
          <w:szCs w:val="32"/>
        </w:rPr>
        <w:t>2</w:t>
      </w:r>
      <w:r>
        <w:rPr>
          <w:rFonts w:ascii="仿宋_GB2312" w:hAnsi="仿宋_GB2312" w:eastAsia="仿宋_GB2312" w:cs="仿宋_GB2312"/>
          <w:sz w:val="32"/>
          <w:szCs w:val="32"/>
        </w:rPr>
        <w:t>月，分值5，得分5。通过9月委托第三方开展图斑监测，历时1个月保障当年监测图斑全部入库。</w:t>
      </w:r>
    </w:p>
    <w:p>
      <w:pPr>
        <w:spacing w:line="620" w:lineRule="exact"/>
        <w:ind w:left="480" w:leftChars="200" w:firstLine="0" w:firstLineChars="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4.成本指标</w:t>
      </w:r>
    </w:p>
    <w:p>
      <w:p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（1）林草湿荒综合监测项目补助金额</w:t>
      </w:r>
    </w:p>
    <w:p>
      <w:p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目标值无</w:t>
      </w:r>
      <w:r>
        <w:rPr>
          <w:rFonts w:ascii="仿宋_GB2312" w:hAnsi="仿宋_GB2312" w:eastAsia="仿宋_GB2312" w:cs="仿宋_GB2312"/>
          <w:sz w:val="32"/>
          <w:szCs w:val="32"/>
        </w:rPr>
        <w:t>，实际完成0.00</w:t>
      </w:r>
      <w:r>
        <w:rPr>
          <w:rFonts w:hint="eastAsia" w:ascii="仿宋_GB2312" w:hAnsi="仿宋_GB2312" w:eastAsia="仿宋_GB2312" w:cs="仿宋_GB2312"/>
          <w:sz w:val="32"/>
          <w:szCs w:val="32"/>
        </w:rPr>
        <w:t>25</w:t>
      </w:r>
      <w:r>
        <w:rPr>
          <w:rFonts w:ascii="仿宋_GB2312" w:hAnsi="仿宋_GB2312" w:eastAsia="仿宋_GB2312" w:cs="仿宋_GB2312"/>
          <w:sz w:val="32"/>
          <w:szCs w:val="32"/>
        </w:rPr>
        <w:t>万元/个，分值5，得分5。通过委托第三方开展图斑监测1万元，确保当年自治区下发图斑全部监测完成入库。</w:t>
      </w:r>
    </w:p>
    <w:p>
      <w:pPr>
        <w:numPr>
          <w:ilvl w:val="0"/>
          <w:numId w:val="5"/>
        </w:num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预算偏差率</w:t>
      </w:r>
    </w:p>
    <w:p>
      <w:p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目标值小于等于</w:t>
      </w:r>
      <w:r>
        <w:rPr>
          <w:rFonts w:ascii="仿宋_GB2312" w:hAnsi="仿宋_GB2312" w:eastAsia="仿宋_GB2312" w:cs="仿宋_GB2312"/>
          <w:sz w:val="32"/>
          <w:szCs w:val="32"/>
        </w:rPr>
        <w:t>10%，实际完成</w:t>
      </w: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ascii="仿宋_GB2312" w:hAnsi="仿宋_GB2312" w:eastAsia="仿宋_GB2312" w:cs="仿宋_GB2312"/>
          <w:sz w:val="32"/>
          <w:szCs w:val="32"/>
        </w:rPr>
        <w:t>%，分值5，得分5。通过购买监测工具、制作草原样地宣传牌、清理草原样地现有垃圾、委托第三方开展图斑监测，了解摸清全区林地资源的种类、数量、结构、分布、质量、功能、保护与利用状况及其变化趋势，按质按量完成了本年度林地图斑监测工作。</w:t>
      </w:r>
    </w:p>
    <w:p>
      <w:pPr>
        <w:widowControl/>
        <w:autoSpaceDE w:val="0"/>
        <w:autoSpaceDN w:val="0"/>
        <w:spacing w:line="560" w:lineRule="exact"/>
        <w:ind w:firstLine="640"/>
        <w:jc w:val="left"/>
        <w:outlineLvl w:val="1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(二) 效益指标完成情况</w:t>
      </w:r>
    </w:p>
    <w:p>
      <w:p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1.社会效益指标</w:t>
      </w:r>
    </w:p>
    <w:p>
      <w:p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（1）森林、湿地生态系统生态效益发挥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目标值定性明显，实际完成明显，分值</w:t>
      </w:r>
      <w:r>
        <w:rPr>
          <w:rFonts w:ascii="仿宋_GB2312" w:hAnsi="仿宋_GB2312" w:eastAsia="仿宋_GB2312" w:cs="仿宋_GB2312"/>
          <w:sz w:val="32"/>
          <w:szCs w:val="32"/>
        </w:rPr>
        <w:t>15，得分15。通过开展监测工作，了解摸清全区林地资源的种类、数量、结构、分布、质量、功能、保护与利用状况及其变化趋势，确保辖区森林、湿地生态系统生态效益发挥明显。</w:t>
      </w:r>
    </w:p>
    <w:p>
      <w:p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2.可持续影响指标</w:t>
      </w:r>
    </w:p>
    <w:p>
      <w:p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（1）森林、湿地、荒漠生态系统功能改善可持续影响</w:t>
      </w:r>
    </w:p>
    <w:p>
      <w:pPr>
        <w:spacing w:line="620" w:lineRule="exact"/>
        <w:ind w:firstLine="640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目标值定性明显，实际完成明显，分值</w:t>
      </w:r>
      <w:r>
        <w:rPr>
          <w:rFonts w:ascii="仿宋_GB2312" w:hAnsi="仿宋_GB2312" w:eastAsia="仿宋_GB2312" w:cs="仿宋_GB2312"/>
          <w:sz w:val="32"/>
          <w:szCs w:val="32"/>
        </w:rPr>
        <w:t>15，得分15。通过开展监测工作，确保森林、湿地、荒漠生态系统功能改善可持续影响明显。</w:t>
      </w:r>
    </w:p>
    <w:p>
      <w:pPr>
        <w:widowControl/>
        <w:autoSpaceDE w:val="0"/>
        <w:autoSpaceDN w:val="0"/>
        <w:spacing w:line="560" w:lineRule="exact"/>
        <w:ind w:firstLine="640"/>
        <w:jc w:val="left"/>
        <w:outlineLvl w:val="1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(三) 满意度指标完成情况</w:t>
      </w:r>
    </w:p>
    <w:p>
      <w:p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（1）林区职工、周边群众满意度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p>
      <w:pPr>
        <w:spacing w:line="620" w:lineRule="exact"/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目标值大于等于</w:t>
      </w:r>
      <w:r>
        <w:rPr>
          <w:rFonts w:ascii="仿宋_GB2312" w:hAnsi="仿宋_GB2312" w:eastAsia="仿宋_GB2312" w:cs="仿宋_GB2312"/>
          <w:sz w:val="32"/>
          <w:szCs w:val="32"/>
        </w:rPr>
        <w:t>90%，实际完成95.</w:t>
      </w: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ascii="仿宋_GB2312" w:hAnsi="仿宋_GB2312" w:eastAsia="仿宋_GB2312" w:cs="仿宋_GB2312"/>
          <w:sz w:val="32"/>
          <w:szCs w:val="32"/>
        </w:rPr>
        <w:t>%，分值10，得分10。向周边城镇人员、项目实施/管理人员群体发放并收到满意度调查问卷</w:t>
      </w: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ascii="仿宋_GB2312" w:hAnsi="仿宋_GB2312" w:eastAsia="仿宋_GB2312" w:cs="仿宋_GB2312"/>
          <w:sz w:val="32"/>
          <w:szCs w:val="32"/>
        </w:rPr>
        <w:t>0份，满意率95.</w:t>
      </w:r>
      <w:r>
        <w:rPr>
          <w:rFonts w:hint="eastAsia" w:ascii="仿宋_GB2312" w:hAnsi="仿宋_GB2312" w:eastAsia="仿宋_GB2312" w:cs="仿宋_GB2312"/>
          <w:sz w:val="32"/>
          <w:szCs w:val="32"/>
        </w:rPr>
        <w:t>3</w:t>
      </w:r>
      <w:r>
        <w:rPr>
          <w:rFonts w:ascii="仿宋_GB2312" w:hAnsi="仿宋_GB2312" w:eastAsia="仿宋_GB2312" w:cs="仿宋_GB2312"/>
          <w:sz w:val="32"/>
          <w:szCs w:val="32"/>
        </w:rPr>
        <w:t>%。</w:t>
      </w:r>
    </w:p>
    <w:p>
      <w:pPr>
        <w:widowControl/>
        <w:autoSpaceDE w:val="0"/>
        <w:autoSpaceDN w:val="0"/>
        <w:spacing w:line="560" w:lineRule="exact"/>
        <w:ind w:firstLine="640"/>
        <w:jc w:val="left"/>
        <w:outlineLvl w:val="1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（四）自评得分情况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hint="eastAsia" w:ascii="仿宋_GB2312" w:hAnsi="仿宋_GB2312" w:eastAsia="仿宋_GB2312" w:cs="仿宋_GB2312"/>
          <w:sz w:val="32"/>
          <w:szCs w:val="32"/>
        </w:rPr>
        <w:t>100</w:t>
      </w:r>
      <w:r>
        <w:rPr>
          <w:rFonts w:ascii="仿宋_GB2312" w:hAnsi="仿宋_GB2312" w:eastAsia="仿宋_GB2312" w:cs="仿宋_GB2312"/>
          <w:sz w:val="32"/>
          <w:szCs w:val="32"/>
        </w:rPr>
        <w:t>分，等级为</w:t>
      </w:r>
      <w:r>
        <w:rPr>
          <w:rFonts w:hint="eastAsia" w:ascii="仿宋_GB2312" w:hAnsi="仿宋_GB2312" w:eastAsia="仿宋_GB2312" w:cs="仿宋_GB2312"/>
          <w:sz w:val="32"/>
          <w:szCs w:val="32"/>
        </w:rPr>
        <w:t>A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pacing w:val="1"/>
          <w:sz w:val="32"/>
          <w:szCs w:val="32"/>
        </w:rPr>
        <w:t>通通过开展监测工作，了解摸清全区林地资源的种类、数量、结构、分布、质量、功能、保护与利用状况及其变化趋势，有效加强对草原监测的保护。</w:t>
      </w:r>
    </w:p>
    <w:p>
      <w:pPr>
        <w:spacing w:line="240" w:lineRule="auto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五、存在问题</w:t>
      </w:r>
    </w:p>
    <w:p>
      <w:pPr>
        <w:widowControl/>
        <w:autoSpaceDE w:val="0"/>
        <w:autoSpaceDN w:val="0"/>
        <w:spacing w:line="560" w:lineRule="exact"/>
        <w:ind w:firstLine="640"/>
        <w:jc w:val="left"/>
        <w:outlineLvl w:val="1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（一）项目立项、实施存在问题。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监测工作周期较长，监测数据分析不够全面，应加强分析能力，为之后的草原管护工作提供依据。</w:t>
      </w:r>
    </w:p>
    <w:p>
      <w:pPr>
        <w:ind w:firstLine="64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（二）资金管理使用存在问题</w:t>
      </w:r>
    </w:p>
    <w:p>
      <w:pPr>
        <w:spacing w:line="240" w:lineRule="auto"/>
        <w:ind w:firstLine="640"/>
        <w:rPr>
          <w:rFonts w:hAnsi="仿宋_GB2312" w:eastAsia="仿宋_GB2312" w:cs="仿宋_GB2312"/>
          <w:spacing w:val="1"/>
          <w:sz w:val="32"/>
          <w:szCs w:val="32"/>
        </w:rPr>
      </w:pPr>
      <w:r>
        <w:rPr>
          <w:rFonts w:hint="eastAsia" w:hAnsi="仿宋_GB2312" w:eastAsia="仿宋_GB2312" w:cs="仿宋_GB2312"/>
          <w:sz w:val="32"/>
          <w:szCs w:val="28"/>
        </w:rPr>
        <w:t>本年度资金全部支出用于对应项目，未产生问题。</w:t>
      </w:r>
    </w:p>
    <w:p>
      <w:pPr>
        <w:spacing w:line="240" w:lineRule="auto"/>
        <w:ind w:firstLine="643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六、其他需要说明的问题</w:t>
      </w:r>
    </w:p>
    <w:p>
      <w:pPr>
        <w:widowControl/>
        <w:numPr>
          <w:ilvl w:val="0"/>
          <w:numId w:val="6"/>
        </w:numPr>
        <w:autoSpaceDE w:val="0"/>
        <w:autoSpaceDN w:val="0"/>
        <w:spacing w:line="560" w:lineRule="exact"/>
        <w:ind w:firstLine="640"/>
        <w:jc w:val="left"/>
        <w:outlineLvl w:val="1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绩效自评结果拟应用和公开情况</w:t>
      </w:r>
    </w:p>
    <w:p>
      <w:pPr>
        <w:pStyle w:val="2"/>
        <w:ind w:firstLine="640"/>
        <w:rPr>
          <w:rFonts w:hAnsi="仿宋_GB2312" w:eastAsia="仿宋_GB2312"/>
          <w:kern w:val="2"/>
          <w:sz w:val="32"/>
          <w:szCs w:val="32"/>
        </w:rPr>
      </w:pPr>
      <w:r>
        <w:rPr>
          <w:rFonts w:hint="eastAsia" w:hAnsi="仿宋_GB2312" w:eastAsia="仿宋_GB2312"/>
          <w:kern w:val="2"/>
          <w:sz w:val="32"/>
          <w:szCs w:val="32"/>
        </w:rPr>
        <w:t>我单位将建立健全绩效评价结果反馈制度和绩效问题整改责任制,形成一套反馈、整改、提升的良性绩效运行机制。实现评价结果与制定政策、预算安排、完善管理的深度</w:t>
      </w:r>
      <w:bookmarkStart w:id="0" w:name="_GoBack"/>
      <w:bookmarkEnd w:id="0"/>
      <w:r>
        <w:rPr>
          <w:rFonts w:hint="eastAsia" w:hAnsi="仿宋_GB2312" w:eastAsia="仿宋_GB2312"/>
          <w:kern w:val="2"/>
          <w:sz w:val="32"/>
          <w:szCs w:val="32"/>
        </w:rPr>
        <w:t>结合。针对此次自评发现的问题,我单位将积极改正,避免同类问题重复发生,按照要求,及时申报项目目标,同时合理安排项目预算。后续将根据上级要求公开。</w:t>
      </w:r>
    </w:p>
    <w:p>
      <w:pPr>
        <w:widowControl/>
        <w:numPr>
          <w:ilvl w:val="0"/>
          <w:numId w:val="6"/>
        </w:numPr>
        <w:autoSpaceDE w:val="0"/>
        <w:autoSpaceDN w:val="0"/>
        <w:spacing w:line="560" w:lineRule="exact"/>
        <w:ind w:firstLine="640"/>
        <w:jc w:val="left"/>
        <w:outlineLvl w:val="1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后续工作计划</w:t>
      </w:r>
    </w:p>
    <w:p>
      <w:pPr>
        <w:pStyle w:val="2"/>
        <w:ind w:firstLine="960" w:firstLineChars="300"/>
        <w:rPr>
          <w:rFonts w:ascii="仿宋" w:hAnsi="仿宋" w:eastAsia="仿宋" w:cs="仿宋"/>
          <w:sz w:val="32"/>
          <w:szCs w:val="32"/>
        </w:rPr>
      </w:pPr>
      <w:r>
        <w:rPr>
          <w:rFonts w:hint="eastAsia" w:hAnsi="仿宋_GB2312" w:eastAsia="仿宋_GB2312"/>
          <w:sz w:val="32"/>
          <w:szCs w:val="32"/>
        </w:rPr>
        <w:t>下一步我单位将按照项目规划和实施管理情况，结合单位年度工作计划，做好项目后续工作的管理和计划实施，主要包括：当年自治区下达图斑任务后，立刻开展监测工作任务。</w:t>
      </w:r>
    </w:p>
    <w:p>
      <w:pPr>
        <w:widowControl/>
        <w:numPr>
          <w:ilvl w:val="0"/>
          <w:numId w:val="6"/>
        </w:numPr>
        <w:autoSpaceDE w:val="0"/>
        <w:autoSpaceDN w:val="0"/>
        <w:spacing w:line="560" w:lineRule="exact"/>
        <w:ind w:firstLine="640"/>
        <w:jc w:val="left"/>
        <w:outlineLvl w:val="1"/>
        <w:rPr>
          <w:rFonts w:ascii="楷体_GB2312" w:hAnsi="楷体_GB2312" w:eastAsia="楷体_GB2312" w:cs="楷体_GB2312"/>
          <w:color w:val="000000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kern w:val="0"/>
          <w:sz w:val="32"/>
          <w:szCs w:val="32"/>
        </w:rPr>
        <w:t>措施及办法</w:t>
      </w:r>
    </w:p>
    <w:p>
      <w:pPr>
        <w:pStyle w:val="13"/>
        <w:numPr>
          <w:ilvl w:val="0"/>
          <w:numId w:val="6"/>
        </w:numPr>
        <w:ind w:firstLine="640"/>
      </w:pPr>
      <w:r>
        <w:rPr>
          <w:rFonts w:hint="eastAsia" w:ascii="仿宋_GB2312" w:hAnsi="仿宋" w:eastAsia="仿宋_GB2312"/>
          <w:sz w:val="32"/>
          <w:szCs w:val="32"/>
        </w:rPr>
        <w:t>通过聘用专业第三方公司对辖区草原物候关键期、生产力、草原承载力、草原生长状况监测，全面及时准确获取全区草原资源和生态环境动态信息，为合理利用草原提供科学依据。</w:t>
      </w:r>
    </w:p>
    <w:p>
      <w:pPr>
        <w:pStyle w:val="3"/>
        <w:numPr>
          <w:ilvl w:val="0"/>
          <w:numId w:val="0"/>
        </w:numPr>
        <w:spacing w:line="560" w:lineRule="exact"/>
        <w:ind w:firstLine="640" w:firstLineChars="200"/>
        <w:rPr>
          <w:rFonts w:ascii="黑体" w:hAnsi="黑体" w:eastAsia="黑体" w:cs="黑体"/>
          <w:b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sz w:val="32"/>
          <w:szCs w:val="32"/>
        </w:rPr>
        <w:t>七、附件</w:t>
      </w:r>
    </w:p>
    <w:p>
      <w:pPr>
        <w:ind w:firstLine="640"/>
      </w:pPr>
      <w:r>
        <w:rPr>
          <w:rFonts w:hint="eastAsia" w:ascii="仿宋_GB2312" w:hAnsi="仿宋_GB2312" w:eastAsia="仿宋_GB2312" w:cs="仿宋_GB2312"/>
          <w:sz w:val="32"/>
          <w:szCs w:val="32"/>
        </w:rPr>
        <w:t>全国性森林、草原、湿地、荒漠综合性监测补助项目绩效自评表。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2B51A3"/>
    <w:multiLevelType w:val="singleLevel"/>
    <w:tmpl w:val="952B51A3"/>
    <w:lvl w:ilvl="0" w:tentative="0">
      <w:start w:val="1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abstractNum w:abstractNumId="1">
    <w:nsid w:val="994BB1F1"/>
    <w:multiLevelType w:val="multilevel"/>
    <w:tmpl w:val="994BB1F1"/>
    <w:lvl w:ilvl="0" w:tentative="0">
      <w:start w:val="1"/>
      <w:numFmt w:val="japaneseCounting"/>
      <w:lvlText w:val="%1、"/>
      <w:lvlJc w:val="left"/>
      <w:pPr>
        <w:ind w:left="131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30" w:hanging="420"/>
      </w:pPr>
    </w:lvl>
    <w:lvl w:ilvl="2" w:tentative="0">
      <w:start w:val="1"/>
      <w:numFmt w:val="lowerRoman"/>
      <w:lvlText w:val="%3."/>
      <w:lvlJc w:val="right"/>
      <w:pPr>
        <w:ind w:left="1850" w:hanging="420"/>
      </w:pPr>
    </w:lvl>
    <w:lvl w:ilvl="3" w:tentative="0">
      <w:start w:val="1"/>
      <w:numFmt w:val="decimal"/>
      <w:lvlText w:val="%4."/>
      <w:lvlJc w:val="left"/>
      <w:pPr>
        <w:ind w:left="2270" w:hanging="420"/>
      </w:pPr>
    </w:lvl>
    <w:lvl w:ilvl="4" w:tentative="0">
      <w:start w:val="1"/>
      <w:numFmt w:val="lowerLetter"/>
      <w:lvlText w:val="%5)"/>
      <w:lvlJc w:val="left"/>
      <w:pPr>
        <w:ind w:left="2690" w:hanging="420"/>
      </w:pPr>
    </w:lvl>
    <w:lvl w:ilvl="5" w:tentative="0">
      <w:start w:val="1"/>
      <w:numFmt w:val="lowerRoman"/>
      <w:lvlText w:val="%6."/>
      <w:lvlJc w:val="right"/>
      <w:pPr>
        <w:ind w:left="3110" w:hanging="420"/>
      </w:pPr>
    </w:lvl>
    <w:lvl w:ilvl="6" w:tentative="0">
      <w:start w:val="1"/>
      <w:numFmt w:val="decimal"/>
      <w:lvlText w:val="%7."/>
      <w:lvlJc w:val="left"/>
      <w:pPr>
        <w:ind w:left="3530" w:hanging="420"/>
      </w:pPr>
    </w:lvl>
    <w:lvl w:ilvl="7" w:tentative="0">
      <w:start w:val="1"/>
      <w:numFmt w:val="lowerLetter"/>
      <w:lvlText w:val="%8)"/>
      <w:lvlJc w:val="left"/>
      <w:pPr>
        <w:ind w:left="3950" w:hanging="420"/>
      </w:pPr>
    </w:lvl>
    <w:lvl w:ilvl="8" w:tentative="0">
      <w:start w:val="1"/>
      <w:numFmt w:val="lowerRoman"/>
      <w:lvlText w:val="%9."/>
      <w:lvlJc w:val="right"/>
      <w:pPr>
        <w:ind w:left="4370" w:hanging="420"/>
      </w:pPr>
    </w:lvl>
  </w:abstractNum>
  <w:abstractNum w:abstractNumId="2">
    <w:nsid w:val="9BA34D51"/>
    <w:multiLevelType w:val="singleLevel"/>
    <w:tmpl w:val="9BA34D51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D938FA6E"/>
    <w:multiLevelType w:val="multilevel"/>
    <w:tmpl w:val="D938FA6E"/>
    <w:lvl w:ilvl="0" w:tentative="0">
      <w:start w:val="3"/>
      <w:numFmt w:val="decimal"/>
      <w:pStyle w:val="3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575" w:hanging="575"/>
      </w:pPr>
      <w:rPr>
        <w:rFonts w:hint="default" w:ascii="宋体" w:hAnsi="宋体" w:eastAsia="宋体" w:cs="宋体"/>
      </w:rPr>
    </w:lvl>
    <w:lvl w:ilvl="2" w:tentative="0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4">
    <w:nsid w:val="1799688B"/>
    <w:multiLevelType w:val="singleLevel"/>
    <w:tmpl w:val="1799688B"/>
    <w:lvl w:ilvl="0" w:tentative="0">
      <w:start w:val="2"/>
      <w:numFmt w:val="decimal"/>
      <w:suff w:val="nothing"/>
      <w:lvlText w:val="（%1）"/>
      <w:lvlJc w:val="left"/>
    </w:lvl>
  </w:abstractNum>
  <w:abstractNum w:abstractNumId="5">
    <w:nsid w:val="29F8B220"/>
    <w:multiLevelType w:val="singleLevel"/>
    <w:tmpl w:val="29F8B22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I1NzFkMTEyNTUzY2FjZTZjZjQ5YmE3YWE1ZTZlZjEifQ=="/>
  </w:docVars>
  <w:rsids>
    <w:rsidRoot w:val="7001282D"/>
    <w:rsid w:val="0006472C"/>
    <w:rsid w:val="00CB3923"/>
    <w:rsid w:val="00E91081"/>
    <w:rsid w:val="00EB3F74"/>
    <w:rsid w:val="00F41361"/>
    <w:rsid w:val="038D2172"/>
    <w:rsid w:val="0C4656D6"/>
    <w:rsid w:val="0EAC6DC8"/>
    <w:rsid w:val="0F904E8D"/>
    <w:rsid w:val="13E340E4"/>
    <w:rsid w:val="163F62CD"/>
    <w:rsid w:val="166C2188"/>
    <w:rsid w:val="174908FD"/>
    <w:rsid w:val="20DE2F60"/>
    <w:rsid w:val="25716881"/>
    <w:rsid w:val="29003F9C"/>
    <w:rsid w:val="2BAE39E4"/>
    <w:rsid w:val="2D8519B4"/>
    <w:rsid w:val="2EDC3C75"/>
    <w:rsid w:val="309030CC"/>
    <w:rsid w:val="3CE10D95"/>
    <w:rsid w:val="3CF2521E"/>
    <w:rsid w:val="3F9A0B2B"/>
    <w:rsid w:val="3FB42EA1"/>
    <w:rsid w:val="405728F1"/>
    <w:rsid w:val="43B83DDC"/>
    <w:rsid w:val="44DA5C39"/>
    <w:rsid w:val="4DA84903"/>
    <w:rsid w:val="4DBB5B8E"/>
    <w:rsid w:val="4EEA25C1"/>
    <w:rsid w:val="52092E71"/>
    <w:rsid w:val="539E7181"/>
    <w:rsid w:val="5A33101E"/>
    <w:rsid w:val="5A5F4E67"/>
    <w:rsid w:val="61041AFB"/>
    <w:rsid w:val="63792693"/>
    <w:rsid w:val="66CD728D"/>
    <w:rsid w:val="66DE32E0"/>
    <w:rsid w:val="67DC36BE"/>
    <w:rsid w:val="69393A7C"/>
    <w:rsid w:val="7001282D"/>
    <w:rsid w:val="709F57D3"/>
    <w:rsid w:val="70A74FAC"/>
    <w:rsid w:val="74050CA4"/>
    <w:rsid w:val="7CA51C14"/>
    <w:rsid w:val="7D5343ED"/>
    <w:rsid w:val="7DD46476"/>
    <w:rsid w:val="7E8D0F3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2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numPr>
        <w:ilvl w:val="0"/>
        <w:numId w:val="1"/>
      </w:numPr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11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556"/>
    </w:pPr>
    <w:rPr>
      <w:rFonts w:ascii="仿宋_GB2312" w:cs="仿宋_GB2312"/>
      <w:kern w:val="0"/>
    </w:r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</w:style>
  <w:style w:type="paragraph" w:styleId="5">
    <w:name w:val="toc 2"/>
    <w:basedOn w:val="1"/>
    <w:next w:val="1"/>
    <w:qFormat/>
    <w:uiPriority w:val="39"/>
    <w:pPr>
      <w:ind w:left="210"/>
      <w:jc w:val="left"/>
    </w:pPr>
    <w:rPr>
      <w:smallCaps/>
      <w:sz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7">
    <w:name w:val="header"/>
    <w:basedOn w:val="1"/>
    <w:next w:val="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8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/>
      <w:kern w:val="0"/>
      <w:szCs w:val="24"/>
    </w:rPr>
  </w:style>
  <w:style w:type="paragraph" w:styleId="9">
    <w:name w:val="Title"/>
    <w:basedOn w:val="1"/>
    <w:next w:val="4"/>
    <w:qFormat/>
    <w:uiPriority w:val="10"/>
    <w:pPr>
      <w:spacing w:before="240" w:after="60"/>
      <w:ind w:left="640" w:leftChars="200"/>
      <w:outlineLvl w:val="0"/>
    </w:pPr>
    <w:rPr>
      <w:rFonts w:ascii="Arial" w:hAnsi="Arial"/>
      <w:b/>
    </w:rPr>
  </w:style>
  <w:style w:type="character" w:customStyle="1" w:styleId="12">
    <w:name w:val="NormalCharacter"/>
    <w:semiHidden/>
    <w:qFormat/>
    <w:uiPriority w:val="0"/>
    <w:rPr>
      <w:rFonts w:ascii="宋体" w:hAnsi="宋体" w:eastAsia="宋体" w:cs="Times New Roman"/>
      <w:kern w:val="2"/>
      <w:sz w:val="24"/>
      <w:szCs w:val="22"/>
      <w:lang w:val="en-US" w:eastAsia="zh-CN" w:bidi="ar-SA"/>
    </w:rPr>
  </w:style>
  <w:style w:type="paragraph" w:styleId="13">
    <w:name w:val="No Spacing"/>
    <w:autoRedefine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2793</Words>
  <Characters>194</Characters>
  <Lines>1</Lines>
  <Paragraphs>5</Paragraphs>
  <TotalTime>20</TotalTime>
  <ScaleCrop>false</ScaleCrop>
  <LinksUpToDate>false</LinksUpToDate>
  <CharactersWithSpaces>2982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2023-04-06T02:49:00Z</dcterms:created>
  <dc:creator>Admin</dc:creator>
  <cp:lastModifiedBy>tiny</cp:lastModifiedBy>
  <cp:lastPrinted>2024-05-22T09:30:30Z</cp:lastPrinted>
  <dcterms:modified xsi:type="dcterms:W3CDTF">2024-05-22T09:30:35Z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8DC162A7DB2B42C396CCE2B69A6D73A1_12</vt:lpwstr>
  </property>
</Properties>
</file>