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ind w:left="0" w:leftChars="0" w:firstLine="0" w:firstLineChars="0"/>
        <w:jc w:val="both"/>
        <w:rPr>
          <w:rFonts w:hint="eastAsia" w:ascii="仿宋_GB2312" w:hAnsi="仿宋_GB2312" w:eastAsia="仿宋_GB2312" w:cs="仿宋_GB2312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ind w:left="0" w:leftChars="0" w:firstLine="0" w:firstLineChars="0"/>
        <w:jc w:val="both"/>
        <w:rPr>
          <w:rFonts w:hint="eastAsia" w:ascii="仿宋_GB2312" w:hAnsi="仿宋_GB2312" w:eastAsia="仿宋_GB2312" w:cs="仿宋_GB2312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ind w:left="0" w:leftChars="0" w:firstLine="0" w:firstLineChars="0"/>
        <w:jc w:val="both"/>
        <w:rPr>
          <w:rFonts w:hint="eastAsia" w:ascii="仿宋_GB2312" w:hAnsi="仿宋_GB2312" w:eastAsia="仿宋_GB2312" w:cs="仿宋_GB2312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spacing w:line="240" w:lineRule="auto"/>
        <w:ind w:firstLine="0" w:firstLineChars="0"/>
        <w:jc w:val="center"/>
        <w:rPr>
          <w:rFonts w:hint="eastAsia" w:ascii="仿宋_GB2312" w:hAnsi="仿宋_GB2312" w:eastAsia="仿宋_GB2312" w:cs="仿宋_GB2312"/>
          <w:sz w:val="44"/>
          <w:szCs w:val="44"/>
          <w:lang w:val="en-US" w:eastAsia="zh-CN"/>
        </w:rPr>
      </w:pPr>
    </w:p>
    <w:p>
      <w:pPr>
        <w:spacing w:line="240" w:lineRule="auto"/>
        <w:ind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spacing w:line="240" w:lineRule="auto"/>
        <w:ind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预算绩效评价自评报告</w:t>
      </w:r>
    </w:p>
    <w:p>
      <w:pPr>
        <w:pStyle w:val="12"/>
        <w:keepNext w:val="0"/>
        <w:keepLines w:val="0"/>
        <w:widowControl/>
        <w:suppressLineNumbers w:val="0"/>
        <w:shd w:val="clear" w:color="auto" w:fill="FFFFFF"/>
        <w:ind w:left="0" w:leftChars="0" w:firstLine="0" w:firstLineChars="0"/>
        <w:jc w:val="center"/>
        <w:rPr>
          <w:rFonts w:hint="eastAsia" w:ascii="仿宋_GB2312" w:hAnsi="仿宋_GB2312" w:eastAsia="仿宋_GB2312" w:cs="仿宋_GB2312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（</w:t>
      </w: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年度）</w:t>
      </w:r>
    </w:p>
    <w:p>
      <w:pPr>
        <w:jc w:val="center"/>
        <w:rPr>
          <w:rFonts w:hint="eastAsia" w:ascii="仿宋_GB2312" w:hAnsi="仿宋_GB2312" w:eastAsia="仿宋_GB2312" w:cs="仿宋_GB2312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</w:p>
    <w:p>
      <w:pPr>
        <w:jc w:val="center"/>
        <w:rPr>
          <w:rFonts w:hint="eastAsia" w:ascii="仿宋_GB2312" w:hAnsi="仿宋_GB2312" w:eastAsia="仿宋_GB2312" w:cs="仿宋_GB2312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</w:p>
    <w:p>
      <w:pPr>
        <w:jc w:val="center"/>
        <w:rPr>
          <w:rFonts w:hint="eastAsia" w:ascii="仿宋_GB2312" w:hAnsi="仿宋_GB2312" w:eastAsia="仿宋_GB2312" w:cs="仿宋_GB2312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</w:p>
    <w:p>
      <w:pPr>
        <w:jc w:val="center"/>
        <w:rPr>
          <w:rFonts w:hint="eastAsia" w:ascii="仿宋_GB2312" w:hAnsi="仿宋_GB2312" w:eastAsia="仿宋_GB2312" w:cs="仿宋_GB2312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</w:p>
    <w:p>
      <w:pPr>
        <w:jc w:val="center"/>
        <w:rPr>
          <w:rFonts w:hint="eastAsia" w:ascii="仿宋_GB2312" w:hAnsi="仿宋_GB2312" w:eastAsia="仿宋_GB2312" w:cs="仿宋_GB2312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</w:p>
    <w:p>
      <w:pPr>
        <w:jc w:val="center"/>
        <w:rPr>
          <w:rFonts w:hint="eastAsia" w:ascii="仿宋_GB2312" w:hAnsi="仿宋_GB2312" w:eastAsia="仿宋_GB2312" w:cs="仿宋_GB2312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</w:p>
    <w:p>
      <w:pPr>
        <w:jc w:val="center"/>
        <w:rPr>
          <w:rFonts w:hint="eastAsia" w:ascii="仿宋_GB2312" w:hAnsi="仿宋_GB2312" w:eastAsia="仿宋_GB2312" w:cs="仿宋_GB2312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</w:p>
    <w:p>
      <w:pPr>
        <w:jc w:val="center"/>
        <w:rPr>
          <w:rFonts w:hint="eastAsia" w:ascii="仿宋_GB2312" w:hAnsi="仿宋_GB2312" w:eastAsia="仿宋_GB2312" w:cs="仿宋_GB2312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</w:p>
    <w:p>
      <w:pPr>
        <w:jc w:val="both"/>
        <w:rPr>
          <w:rFonts w:hint="eastAsia" w:ascii="仿宋_GB2312" w:hAnsi="仿宋_GB2312" w:eastAsia="仿宋_GB2312" w:cs="仿宋_GB2312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</w:p>
    <w:p>
      <w:pPr>
        <w:jc w:val="center"/>
        <w:rPr>
          <w:rFonts w:hint="eastAsia" w:ascii="仿宋_GB2312" w:hAnsi="仿宋_GB2312" w:eastAsia="仿宋_GB2312" w:cs="仿宋_GB2312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</w:p>
    <w:p>
      <w:pPr>
        <w:ind w:firstLine="1606" w:firstLineChars="500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vertAlign w:val="baseline"/>
          <w:lang w:val="en-US" w:eastAsia="zh-CN" w:bidi="ar-SA"/>
        </w:rPr>
        <w:t>项目名称：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国有林保护修复补助</w:t>
      </w:r>
    </w:p>
    <w:p>
      <w:pPr>
        <w:ind w:firstLine="1606" w:firstLineChars="500"/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实施单位：乌海市自然资源局</w:t>
      </w:r>
    </w:p>
    <w:p>
      <w:pPr>
        <w:ind w:firstLine="3213" w:firstLineChars="1000"/>
        <w:rPr>
          <w:rFonts w:hint="eastAsia" w:ascii="仿宋_GB2312" w:hAnsi="仿宋_GB2312" w:eastAsia="仿宋_GB2312" w:cs="仿宋_GB2312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vertAlign w:val="baseline"/>
          <w:lang w:val="en-US" w:eastAsia="zh-CN" w:bidi="ar-SA"/>
        </w:rPr>
        <w:t>2024年5月</w:t>
      </w:r>
    </w:p>
    <w:p>
      <w:pPr>
        <w:pStyle w:val="5"/>
        <w:pageBreakBefore w:val="0"/>
        <w:numPr>
          <w:ilvl w:val="0"/>
          <w:numId w:val="2"/>
        </w:numPr>
        <w:wordWrap/>
        <w:overflowPunct/>
        <w:topLinePunct w:val="0"/>
        <w:bidi w:val="0"/>
        <w:spacing w:before="0" w:beforeLines="0" w:after="0" w:afterLines="0" w:line="560" w:lineRule="exact"/>
        <w:ind w:left="0" w:leftChars="0"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项目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基本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情况</w:t>
      </w:r>
    </w:p>
    <w:p>
      <w:pPr>
        <w:pageBreakBefore w:val="0"/>
        <w:widowControl/>
        <w:numPr>
          <w:ilvl w:val="0"/>
          <w:numId w:val="3"/>
        </w:numPr>
        <w:wordWrap/>
        <w:overflowPunct/>
        <w:topLinePunct w:val="0"/>
        <w:autoSpaceDE w:val="0"/>
        <w:autoSpaceDN w:val="0"/>
        <w:bidi w:val="0"/>
        <w:spacing w:line="560" w:lineRule="exact"/>
        <w:ind w:left="0" w:leftChars="0" w:firstLine="640" w:firstLineChars="200"/>
        <w:jc w:val="left"/>
        <w:outlineLvl w:val="1"/>
        <w:rPr>
          <w:rFonts w:hint="eastAsia" w:ascii="仿宋" w:hAnsi="仿宋" w:eastAsia="仿宋" w:cs="仿宋"/>
          <w:color w:val="auto"/>
          <w:spacing w:val="8"/>
          <w:sz w:val="30"/>
          <w:lang w:val="en-US" w:eastAsia="zh-CN"/>
        </w:rPr>
      </w:pP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</w:rPr>
        <w:t>项目基本情况简介</w:t>
      </w:r>
    </w:p>
    <w:p>
      <w:pPr>
        <w:ind w:firstLine="640" w:firstLineChars="200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了保护好现有的天然林资源和公益林资源，切实落实森林管护责任制，按资源分布状况、管护难易程度、地理位置，落实管护人员。每个管护人员按照定沟系、定面积、定任务、定报酬、定人员的“五定”管护方案，签订管护责任书，落实管护责任制，做到管护责任人的管护区内无偷砍滥伐、无乱采乱挖、无毁林开荒、无违法捕猎。同时，加强预测、预报、检疫等基础性工作，有效地保护林草资源和造林绿化成果。通过管护责任制的落实，形成一个比较完善的天然林资源管护网络和公益林资源管护网络。</w:t>
      </w:r>
    </w:p>
    <w:p>
      <w:pPr>
        <w:ind w:firstLine="640" w:firstLineChars="200"/>
        <w:outlineLvl w:val="9"/>
        <w:rPr>
          <w:rFonts w:hint="eastAsia" w:ascii="仿宋" w:hAnsi="仿宋" w:eastAsia="仿宋" w:cs="仿宋"/>
          <w:color w:val="auto"/>
          <w:spacing w:val="8"/>
          <w:sz w:val="30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内蒙古自治区林业和草原部门以内蒙古自治区财政厅《关于提前下达2023年中央财政林业草原生态保护修复资金预算的通知》（内财资环〔2022〕1804号）文件下达我单位中央转移支付专项资金-天保工程区国有林管护补助104万元、国有国家级公益林管护补助16万元，以《关于下达2023年中央财政林业草原生态保护恢复资金（森林保护修复支出）预算的通知》（内财资环〔2023〕1665号）文件下达我单位中央转移支付专项资金-天保工程区国有林管护补助45万元、国有国家级公益林管护补助54万元，共计219万元，主要用于乌海市国有林保护修复工作。</w:t>
      </w:r>
    </w:p>
    <w:p>
      <w:pPr>
        <w:pageBreakBefore w:val="0"/>
        <w:widowControl/>
        <w:numPr>
          <w:ilvl w:val="0"/>
          <w:numId w:val="3"/>
        </w:numPr>
        <w:wordWrap/>
        <w:overflowPunct/>
        <w:topLinePunct w:val="0"/>
        <w:autoSpaceDE w:val="0"/>
        <w:autoSpaceDN w:val="0"/>
        <w:bidi w:val="0"/>
        <w:spacing w:line="560" w:lineRule="exact"/>
        <w:ind w:left="0" w:leftChars="0" w:firstLine="640" w:firstLineChars="200"/>
        <w:jc w:val="left"/>
        <w:outlineLvl w:val="1"/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  <w:lang w:val="en-US" w:eastAsia="zh-CN"/>
        </w:rPr>
        <w:t>绩效目标设定及完</w:t>
      </w: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</w:rPr>
        <w:t>成</w:t>
      </w: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  <w:lang w:val="en-US" w:eastAsia="zh-CN"/>
        </w:rPr>
        <w:t>情况</w:t>
      </w:r>
    </w:p>
    <w:p>
      <w:pPr>
        <w:ind w:firstLine="640" w:firstLineChars="200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预期目标：</w:t>
      </w:r>
    </w:p>
    <w:p>
      <w:pPr>
        <w:ind w:firstLine="640" w:firstLineChars="200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1.通过天然林资源修复实施，完成14.93万亩天然林管护任务，补偿标准10元/亩，生态状况从逐步好转进一步向明显改善转变，生物多样性明显增加，森林生态功能明显增强。</w:t>
      </w:r>
    </w:p>
    <w:p>
      <w:pPr>
        <w:ind w:firstLine="640" w:firstLineChars="200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2.对本地区国家级公益林实施生态效益补偿，完成国家级公益林管护任务7.01万亩，补偿标准10元/亩，切实提升生态公益林保护管理水平，提高职工收入，达到维护生态安全的目标。</w:t>
      </w:r>
    </w:p>
    <w:p>
      <w:pPr>
        <w:ind w:firstLine="640" w:firstLineChars="200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绩效目标实际完成情况：</w:t>
      </w:r>
    </w:p>
    <w:p>
      <w:pPr>
        <w:ind w:firstLine="640" w:firstLineChars="200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1.落实天然林资源修复实施，完成14.93万亩管护任务，林区生态状况改善明显，森林生态功能加强。落实补偿标准10元/亩，使用中央财政天然林管护补助140万元。</w:t>
      </w:r>
    </w:p>
    <w:p>
      <w:pPr>
        <w:ind w:firstLine="640" w:firstLineChars="200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2.完成国家级公益林管护任务7.01万亩，切实提升生态公益林保护管理水平，持续维护生态安全。落实补偿标准10元/亩，使用中央财政国家公益林管护补助70万元。</w:t>
      </w:r>
    </w:p>
    <w:p>
      <w:pPr>
        <w:pStyle w:val="5"/>
        <w:pageBreakBefore w:val="0"/>
        <w:numPr>
          <w:ilvl w:val="0"/>
          <w:numId w:val="2"/>
        </w:numPr>
        <w:wordWrap/>
        <w:overflowPunct/>
        <w:topLinePunct w:val="0"/>
        <w:bidi w:val="0"/>
        <w:spacing w:before="0" w:beforeLines="0" w:after="0" w:afterLines="0" w:line="560" w:lineRule="exact"/>
        <w:ind w:left="0" w:leftChars="0"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绩效自评工作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情况</w:t>
      </w:r>
    </w:p>
    <w:p>
      <w:pPr>
        <w:pageBreakBefore w:val="0"/>
        <w:widowControl/>
        <w:numPr>
          <w:ilvl w:val="0"/>
          <w:numId w:val="4"/>
        </w:numPr>
        <w:wordWrap/>
        <w:overflowPunct/>
        <w:topLinePunct w:val="0"/>
        <w:autoSpaceDE w:val="0"/>
        <w:autoSpaceDN w:val="0"/>
        <w:bidi w:val="0"/>
        <w:spacing w:line="560" w:lineRule="exact"/>
        <w:ind w:left="0" w:leftChars="0" w:firstLine="640" w:firstLineChars="200"/>
        <w:jc w:val="left"/>
        <w:outlineLvl w:val="1"/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  <w:lang w:val="en-US" w:eastAsia="zh-CN"/>
        </w:rPr>
        <w:t>绩效自评目的</w:t>
      </w:r>
    </w:p>
    <w:p>
      <w:pPr>
        <w:keepNext w:val="0"/>
        <w:keepLines w:val="0"/>
        <w:widowControl/>
        <w:suppressLineNumbers w:val="0"/>
        <w:ind w:firstLine="644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"/>
          <w:sz w:val="32"/>
          <w:szCs w:val="32"/>
        </w:rPr>
        <w:t>项目绩效自评的目的在于通过绩效自评来检查部门的工作质量，监督是否做到了有效的绩效评价。在绩效自评工作开展过程中，通过自评找出问题，解决问题，从中更好的认识到项目开展中的问题，积极思考改善和提高工作质量与效率。对项目绩效管理制定的计划实施、绩效结果应用、绩效目标提升的进行评估。更是为了改进工作，并准确接受第三方的评估。</w:t>
      </w:r>
    </w:p>
    <w:p>
      <w:pPr>
        <w:pageBreakBefore w:val="0"/>
        <w:widowControl/>
        <w:numPr>
          <w:ilvl w:val="0"/>
          <w:numId w:val="4"/>
        </w:numPr>
        <w:wordWrap/>
        <w:overflowPunct/>
        <w:topLinePunct w:val="0"/>
        <w:autoSpaceDE w:val="0"/>
        <w:autoSpaceDN w:val="0"/>
        <w:bidi w:val="0"/>
        <w:spacing w:line="560" w:lineRule="exact"/>
        <w:ind w:left="0" w:leftChars="0" w:firstLine="640" w:firstLineChars="200"/>
        <w:jc w:val="left"/>
        <w:outlineLvl w:val="1"/>
        <w:rPr>
          <w:rFonts w:hint="default" w:ascii="楷体_GB2312" w:hAnsi="楷体_GB2312" w:eastAsia="楷体_GB2312" w:cs="楷体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  <w:lang w:val="en-US" w:eastAsia="zh-CN"/>
        </w:rPr>
        <w:t>绩效自评工作过程</w:t>
      </w:r>
    </w:p>
    <w:p>
      <w:pPr>
        <w:pStyle w:val="7"/>
        <w:numPr>
          <w:ilvl w:val="0"/>
          <w:numId w:val="5"/>
        </w:numPr>
        <w:rPr>
          <w:rFonts w:hint="eastAsia" w:ascii="仿宋_GB2312" w:hAnsi="仿宋_GB2312" w:eastAsia="仿宋_GB2312" w:cs="仿宋_GB2312"/>
          <w:color w:val="auto"/>
          <w:spacing w:val="8"/>
          <w:kern w:val="2"/>
          <w:sz w:val="32"/>
          <w:szCs w:val="2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spacing w:val="8"/>
          <w:kern w:val="2"/>
          <w:sz w:val="32"/>
          <w:szCs w:val="24"/>
          <w:lang w:val="en-US" w:eastAsia="zh-CN" w:bidi="ar-SA"/>
        </w:rPr>
        <w:t>准备阶段：根据项目实际情况，制定项目绩效目标。</w:t>
      </w:r>
    </w:p>
    <w:p>
      <w:pPr>
        <w:pStyle w:val="7"/>
        <w:numPr>
          <w:ilvl w:val="0"/>
          <w:numId w:val="5"/>
        </w:numPr>
        <w:rPr>
          <w:rFonts w:hint="eastAsia" w:ascii="仿宋_GB2312" w:hAnsi="仿宋_GB2312" w:eastAsia="仿宋_GB2312" w:cs="仿宋_GB2312"/>
          <w:color w:val="auto"/>
          <w:spacing w:val="8"/>
          <w:kern w:val="2"/>
          <w:sz w:val="32"/>
          <w:szCs w:val="2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spacing w:val="8"/>
          <w:kern w:val="2"/>
          <w:sz w:val="32"/>
          <w:szCs w:val="24"/>
          <w:lang w:val="en-US" w:eastAsia="zh-CN" w:bidi="ar-SA"/>
        </w:rPr>
        <w:t>实施阶段：根据项目绩效目标，收集整理相关绩效评价资料，对前期设置的项目绩效目标进行自评。</w:t>
      </w:r>
    </w:p>
    <w:p>
      <w:pPr>
        <w:pStyle w:val="7"/>
        <w:numPr>
          <w:ilvl w:val="0"/>
          <w:numId w:val="5"/>
        </w:numPr>
        <w:rPr>
          <w:rFonts w:hint="eastAsia" w:ascii="仿宋_GB2312" w:hAnsi="仿宋_GB2312" w:eastAsia="仿宋_GB2312" w:cs="仿宋_GB2312"/>
          <w:color w:val="auto"/>
          <w:spacing w:val="8"/>
          <w:kern w:val="2"/>
          <w:sz w:val="32"/>
          <w:szCs w:val="2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spacing w:val="8"/>
          <w:kern w:val="2"/>
          <w:sz w:val="32"/>
          <w:szCs w:val="24"/>
          <w:lang w:val="en-US" w:eastAsia="zh-CN" w:bidi="ar-SA"/>
        </w:rPr>
        <w:t>总结阶段：根据项目自评结果，编写项目绩效自评报告。</w:t>
      </w:r>
    </w:p>
    <w:p>
      <w:pPr>
        <w:pStyle w:val="5"/>
        <w:pageBreakBefore w:val="0"/>
        <w:numPr>
          <w:ilvl w:val="0"/>
          <w:numId w:val="2"/>
        </w:numPr>
        <w:wordWrap/>
        <w:overflowPunct/>
        <w:topLinePunct w:val="0"/>
        <w:bidi w:val="0"/>
        <w:spacing w:before="0" w:beforeLines="0" w:after="0" w:afterLines="0" w:line="560" w:lineRule="exact"/>
        <w:ind w:left="0" w:leftChars="0" w:firstLine="640" w:firstLineChars="200"/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项目资金管理</w:t>
      </w:r>
    </w:p>
    <w:p>
      <w:pPr>
        <w:pageBreakBefore w:val="0"/>
        <w:widowControl/>
        <w:numPr>
          <w:ilvl w:val="0"/>
          <w:numId w:val="6"/>
        </w:numPr>
        <w:wordWrap/>
        <w:overflowPunct/>
        <w:topLinePunct w:val="0"/>
        <w:autoSpaceDE w:val="0"/>
        <w:autoSpaceDN w:val="0"/>
        <w:bidi w:val="0"/>
        <w:spacing w:line="560" w:lineRule="exact"/>
        <w:ind w:left="0" w:leftChars="0" w:firstLine="640" w:firstLineChars="200"/>
        <w:jc w:val="left"/>
        <w:outlineLvl w:val="1"/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  <w:lang w:val="en-US" w:eastAsia="zh-CN"/>
        </w:rPr>
        <w:t>项目资金投入情况</w:t>
      </w:r>
    </w:p>
    <w:p>
      <w:pPr>
        <w:keepNext w:val="0"/>
        <w:keepLines w:val="0"/>
        <w:widowControl/>
        <w:suppressLineNumbers w:val="0"/>
        <w:ind w:firstLine="644" w:firstLineChars="200"/>
        <w:jc w:val="left"/>
        <w:rPr>
          <w:rFonts w:hint="eastAsia" w:ascii="仿宋_GB2312" w:hAnsi="仿宋_GB2312" w:eastAsia="仿宋_GB2312" w:cs="仿宋_GB2312"/>
          <w:spacing w:val="1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"/>
          <w:sz w:val="32"/>
          <w:szCs w:val="32"/>
          <w:lang w:val="en-US" w:eastAsia="zh-CN"/>
        </w:rPr>
        <w:t>本年度资金年初预算数219.00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</w:rPr>
        <w:t>万元，其中：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  <w:lang w:val="en-US" w:eastAsia="zh-CN"/>
        </w:rPr>
        <w:t>中央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</w:rPr>
        <w:t>财政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  <w:lang w:val="en-US" w:eastAsia="zh-CN"/>
        </w:rPr>
        <w:t>219.00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  <w:lang w:val="en-US" w:eastAsia="zh-CN"/>
        </w:rPr>
        <w:t>地方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</w:rPr>
        <w:t>资金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  <w:lang w:val="en-US" w:eastAsia="zh-CN"/>
        </w:rPr>
        <w:t>0.00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</w:rPr>
        <w:t>万元。</w:t>
      </w:r>
    </w:p>
    <w:p>
      <w:pPr>
        <w:keepNext w:val="0"/>
        <w:keepLines w:val="0"/>
        <w:widowControl/>
        <w:suppressLineNumbers w:val="0"/>
        <w:ind w:firstLine="644" w:firstLineChars="200"/>
        <w:jc w:val="left"/>
        <w:rPr>
          <w:rFonts w:hint="eastAsia" w:ascii="仿宋_GB2312" w:hAnsi="仿宋_GB2312" w:eastAsia="仿宋_GB2312" w:cs="仿宋_GB2312"/>
          <w:spacing w:val="1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"/>
          <w:sz w:val="32"/>
          <w:szCs w:val="32"/>
          <w:lang w:val="en-US" w:eastAsia="zh-CN"/>
        </w:rPr>
        <w:t>本年度资金全年预算数219.00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</w:rPr>
        <w:t>万元，其中：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  <w:lang w:val="en-US" w:eastAsia="zh-CN"/>
        </w:rPr>
        <w:t>中央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</w:rPr>
        <w:t>财政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  <w:lang w:val="en-US" w:eastAsia="zh-CN"/>
        </w:rPr>
        <w:t>219.00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  <w:lang w:val="en-US" w:eastAsia="zh-CN"/>
        </w:rPr>
        <w:t>地方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</w:rPr>
        <w:t>资金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  <w:lang w:val="en-US" w:eastAsia="zh-CN"/>
        </w:rPr>
        <w:t>0.00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</w:rPr>
        <w:t>万元。</w:t>
      </w:r>
    </w:p>
    <w:p>
      <w:pPr>
        <w:pageBreakBefore w:val="0"/>
        <w:numPr>
          <w:ilvl w:val="0"/>
          <w:numId w:val="0"/>
        </w:numPr>
        <w:wordWrap/>
        <w:overflowPunct/>
        <w:topLinePunct w:val="0"/>
        <w:bidi w:val="0"/>
        <w:spacing w:line="560" w:lineRule="exact"/>
        <w:ind w:left="0" w:leftChars="0" w:firstLine="644" w:firstLineChars="200"/>
        <w:rPr>
          <w:rFonts w:hint="eastAsia" w:ascii="仿宋_GB2312" w:hAnsi="仿宋_GB2312" w:eastAsia="仿宋_GB2312" w:cs="仿宋_GB2312"/>
          <w:color w:val="auto"/>
          <w:spacing w:val="4"/>
          <w:sz w:val="30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"/>
          <w:sz w:val="32"/>
          <w:szCs w:val="32"/>
          <w:lang w:val="en-US" w:eastAsia="zh-CN"/>
        </w:rPr>
        <w:t>本年度资金全年执行数210.00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</w:rPr>
        <w:t>万元，其中：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  <w:lang w:val="en-US" w:eastAsia="zh-CN"/>
        </w:rPr>
        <w:t>中央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</w:rPr>
        <w:t>财政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  <w:lang w:val="en-US" w:eastAsia="zh-CN"/>
        </w:rPr>
        <w:t>210.00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  <w:lang w:val="en-US" w:eastAsia="zh-CN"/>
        </w:rPr>
        <w:t>地方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</w:rPr>
        <w:t>资金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  <w:lang w:val="en-US" w:eastAsia="zh-CN"/>
        </w:rPr>
        <w:t>0.00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</w:rPr>
        <w:t>万元。</w:t>
      </w:r>
    </w:p>
    <w:p>
      <w:pPr>
        <w:pageBreakBefore w:val="0"/>
        <w:widowControl/>
        <w:numPr>
          <w:ilvl w:val="0"/>
          <w:numId w:val="6"/>
        </w:numPr>
        <w:wordWrap/>
        <w:overflowPunct/>
        <w:topLinePunct w:val="0"/>
        <w:autoSpaceDE w:val="0"/>
        <w:autoSpaceDN w:val="0"/>
        <w:bidi w:val="0"/>
        <w:spacing w:line="560" w:lineRule="exact"/>
        <w:ind w:left="0" w:leftChars="0" w:firstLine="640" w:firstLineChars="200"/>
        <w:jc w:val="left"/>
        <w:outlineLvl w:val="1"/>
        <w:rPr>
          <w:rFonts w:hint="default" w:ascii="楷体_GB2312" w:hAnsi="楷体_GB2312" w:eastAsia="楷体_GB2312" w:cs="楷体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  <w:lang w:val="en-US" w:eastAsia="zh-CN"/>
        </w:rPr>
        <w:t>项目实施情况</w:t>
      </w:r>
    </w:p>
    <w:p>
      <w:pPr>
        <w:pageBreakBefore w:val="0"/>
        <w:numPr>
          <w:ilvl w:val="0"/>
          <w:numId w:val="0"/>
        </w:numPr>
        <w:wordWrap/>
        <w:overflowPunct/>
        <w:topLinePunct w:val="0"/>
        <w:bidi w:val="0"/>
        <w:spacing w:line="560" w:lineRule="exact"/>
        <w:ind w:left="0" w:leftChars="0" w:firstLine="644" w:firstLineChars="200"/>
        <w:rPr>
          <w:rFonts w:hint="default" w:ascii="仿宋_GB2312" w:hAnsi="仿宋_GB2312" w:eastAsia="仿宋_GB2312" w:cs="仿宋_GB2312"/>
          <w:spacing w:val="1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"/>
          <w:sz w:val="32"/>
          <w:szCs w:val="32"/>
          <w:lang w:val="en-US" w:eastAsia="zh-CN"/>
        </w:rPr>
        <w:t>本年度完成14.93万亩天然林管护任务和7.01万亩国家级公益林管护任务，林区生态状况改善明显，森林生态功能加强。落实补偿标准10元/亩，使用中央财政天然林管护补助140万元和国家公益林管护补助70万元。</w:t>
      </w:r>
    </w:p>
    <w:p>
      <w:pPr>
        <w:pageBreakBefore w:val="0"/>
        <w:widowControl/>
        <w:numPr>
          <w:ilvl w:val="0"/>
          <w:numId w:val="6"/>
        </w:numPr>
        <w:wordWrap/>
        <w:overflowPunct/>
        <w:topLinePunct w:val="0"/>
        <w:autoSpaceDE w:val="0"/>
        <w:autoSpaceDN w:val="0"/>
        <w:bidi w:val="0"/>
        <w:spacing w:line="560" w:lineRule="exact"/>
        <w:ind w:left="0" w:leftChars="0" w:firstLine="640" w:firstLineChars="200"/>
        <w:jc w:val="left"/>
        <w:outlineLvl w:val="1"/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  <w:lang w:val="en-US" w:eastAsia="zh-CN"/>
        </w:rPr>
        <w:t>项目资金产出情况</w:t>
      </w:r>
    </w:p>
    <w:p>
      <w:pPr>
        <w:keepNext w:val="0"/>
        <w:keepLines w:val="0"/>
        <w:pageBreakBefore w:val="0"/>
        <w:widowControl/>
        <w:suppressLineNumbers w:val="0"/>
        <w:wordWrap/>
        <w:overflowPunct/>
        <w:topLinePunct w:val="0"/>
        <w:bidi w:val="0"/>
        <w:spacing w:line="560" w:lineRule="exact"/>
        <w:ind w:left="0" w:leftChars="0" w:firstLine="672" w:firstLineChars="200"/>
        <w:jc w:val="left"/>
        <w:rPr>
          <w:rFonts w:hint="eastAsia" w:ascii="仿宋_GB2312" w:hAnsi="仿宋_GB2312" w:eastAsia="仿宋_GB2312" w:cs="仿宋_GB2312"/>
          <w:spacing w:val="1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color w:val="auto"/>
          <w:spacing w:val="8"/>
          <w:sz w:val="32"/>
          <w:szCs w:val="32"/>
          <w:lang w:val="en-US" w:eastAsia="zh-CN"/>
        </w:rPr>
        <w:t>项目资金截至评价期，共计支出210.00元，用于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国有林保护修复支出，</w:t>
      </w:r>
      <w:r>
        <w:rPr>
          <w:rFonts w:hint="eastAsia" w:ascii="仿宋_GB2312" w:hAnsi="仿宋_GB2312" w:eastAsia="仿宋_GB2312" w:cs="仿宋_GB2312"/>
          <w:color w:val="auto"/>
          <w:spacing w:val="8"/>
          <w:sz w:val="32"/>
          <w:szCs w:val="32"/>
          <w:lang w:val="en-US" w:eastAsia="zh-CN"/>
        </w:rPr>
        <w:t>全部为中央财政林业改革发展资金。</w:t>
      </w:r>
    </w:p>
    <w:p>
      <w:pPr>
        <w:pageBreakBefore w:val="0"/>
        <w:widowControl/>
        <w:numPr>
          <w:ilvl w:val="0"/>
          <w:numId w:val="6"/>
        </w:numPr>
        <w:wordWrap/>
        <w:overflowPunct/>
        <w:topLinePunct w:val="0"/>
        <w:autoSpaceDE w:val="0"/>
        <w:autoSpaceDN w:val="0"/>
        <w:bidi w:val="0"/>
        <w:spacing w:line="560" w:lineRule="exact"/>
        <w:ind w:left="0" w:leftChars="0" w:firstLine="640" w:firstLineChars="200"/>
        <w:jc w:val="left"/>
        <w:outlineLvl w:val="1"/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  <w:lang w:val="en-US" w:eastAsia="zh-CN"/>
        </w:rPr>
        <w:t>项目资金管理情况</w:t>
      </w:r>
    </w:p>
    <w:p>
      <w:pPr>
        <w:keepNext w:val="0"/>
        <w:keepLines w:val="0"/>
        <w:widowControl/>
        <w:suppressLineNumbers w:val="0"/>
        <w:ind w:firstLine="644" w:firstLineChars="200"/>
        <w:jc w:val="left"/>
        <w:rPr>
          <w:rFonts w:hint="eastAsia" w:ascii="仿宋_GB2312" w:hAnsi="仿宋_GB2312" w:eastAsia="仿宋_GB2312" w:cs="仿宋_GB2312"/>
          <w:spacing w:val="4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"/>
          <w:sz w:val="32"/>
          <w:szCs w:val="32"/>
          <w:lang w:eastAsia="zh-CN"/>
        </w:rPr>
        <w:t>此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</w:rPr>
        <w:t>专项资金按照国家有关资金管理办法进行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  <w:lang w:eastAsia="zh-CN"/>
        </w:rPr>
        <w:t>管理支出，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</w:rPr>
        <w:t>详细核算项目支出情况，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  <w:lang w:eastAsia="zh-CN"/>
        </w:rPr>
        <w:t>建立健全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</w:rPr>
        <w:t>财务管理制度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</w:rPr>
        <w:t>根据财务管理办法相关制度执行，有力保证了项目资金的实施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</w:rPr>
        <w:t>严禁挤占、挪用、截留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</w:rPr>
        <w:t>上级主管部门对项目资金实行跟踪审计，加强资金使用情况监督，保证资金合理配置和充分使用，提高使用效益。</w:t>
      </w:r>
    </w:p>
    <w:p>
      <w:pPr>
        <w:pStyle w:val="5"/>
        <w:pageBreakBefore w:val="0"/>
        <w:numPr>
          <w:ilvl w:val="0"/>
          <w:numId w:val="2"/>
        </w:numPr>
        <w:wordWrap/>
        <w:overflowPunct/>
        <w:topLinePunct w:val="0"/>
        <w:bidi w:val="0"/>
        <w:spacing w:before="0" w:beforeLines="0" w:after="0" w:afterLines="0" w:line="560" w:lineRule="exact"/>
        <w:ind w:left="0" w:leftChars="0"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项目绩效情况</w:t>
      </w:r>
    </w:p>
    <w:p>
      <w:pPr>
        <w:pageBreakBefore w:val="0"/>
        <w:widowControl/>
        <w:numPr>
          <w:ilvl w:val="0"/>
          <w:numId w:val="7"/>
        </w:numPr>
        <w:wordWrap/>
        <w:overflowPunct/>
        <w:topLinePunct w:val="0"/>
        <w:autoSpaceDE w:val="0"/>
        <w:autoSpaceDN w:val="0"/>
        <w:bidi w:val="0"/>
        <w:spacing w:line="560" w:lineRule="exact"/>
        <w:ind w:left="0" w:leftChars="0" w:firstLine="640" w:firstLineChars="200"/>
        <w:jc w:val="left"/>
        <w:outlineLvl w:val="1"/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  <w:lang w:val="en-US" w:eastAsia="zh-CN"/>
        </w:rPr>
        <w:t>产出指标完成情况</w:t>
      </w:r>
    </w:p>
    <w:p>
      <w:pPr>
        <w:widowControl/>
        <w:numPr>
          <w:ilvl w:val="0"/>
          <w:numId w:val="8"/>
        </w:numPr>
        <w:autoSpaceDE w:val="0"/>
        <w:autoSpaceDN w:val="0"/>
        <w:spacing w:line="560" w:lineRule="exact"/>
        <w:ind w:firstLine="640" w:firstLineChars="200"/>
        <w:jc w:val="left"/>
        <w:outlineLvl w:val="2"/>
        <w:rPr>
          <w:rFonts w:hint="eastAsia" w:ascii="仿宋_GB2312" w:hAnsi="宋体" w:eastAsia="仿宋_GB2312" w:cs="宋体"/>
          <w:b w:val="0"/>
          <w:bCs w:val="0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 w:val="0"/>
          <w:bCs w:val="0"/>
          <w:color w:val="000000"/>
          <w:kern w:val="0"/>
          <w:sz w:val="32"/>
          <w:szCs w:val="32"/>
        </w:rPr>
        <w:t>数量指标</w:t>
      </w:r>
    </w:p>
    <w:p>
      <w:pPr>
        <w:numPr>
          <w:ilvl w:val="0"/>
          <w:numId w:val="9"/>
        </w:numPr>
        <w:spacing w:line="240" w:lineRule="auto"/>
        <w:ind w:left="-12" w:leftChars="0" w:firstLine="642" w:firstLineChars="0"/>
        <w:outlineLvl w:val="9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原天保工程区国有林管护面积（万亩）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firstLine="640" w:firstLineChars="200"/>
        <w:textAlignment w:val="baseline"/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目标值等于14.93万亩，实际完成14.93万亩，分值10分，得分10分。其中海勃湾区管护面积4.86万亩、海南区管护面积8.62万亩、乌达区管护面积1.45万亩。</w:t>
      </w:r>
    </w:p>
    <w:p>
      <w:pPr>
        <w:keepNext w:val="0"/>
        <w:keepLines w:val="0"/>
        <w:pageBreakBefore w:val="0"/>
        <w:widowControl/>
        <w:numPr>
          <w:ilvl w:val="0"/>
          <w:numId w:val="9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-12" w:leftChars="0" w:firstLine="642" w:firstLineChars="0"/>
        <w:textAlignment w:val="baseline"/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国有国家级公益林面积（万亩）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目标值等于7.01万亩，实际完成7.01万亩，分值10分，得分10分。其中海勃湾区管护面积2.23万亩、海南区管护面积4.78万亩。</w:t>
      </w:r>
    </w:p>
    <w:p>
      <w:pPr>
        <w:widowControl/>
        <w:numPr>
          <w:ilvl w:val="0"/>
          <w:numId w:val="8"/>
        </w:numPr>
        <w:autoSpaceDE w:val="0"/>
        <w:autoSpaceDN w:val="0"/>
        <w:spacing w:line="560" w:lineRule="exact"/>
        <w:ind w:firstLine="640" w:firstLineChars="200"/>
        <w:jc w:val="left"/>
        <w:outlineLvl w:val="2"/>
        <w:rPr>
          <w:rFonts w:hint="eastAsia" w:ascii="仿宋_GB2312" w:hAnsi="宋体" w:eastAsia="仿宋_GB2312" w:cs="宋体"/>
          <w:b w:val="0"/>
          <w:bCs w:val="0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 w:val="0"/>
          <w:bCs w:val="0"/>
          <w:color w:val="000000"/>
          <w:kern w:val="0"/>
          <w:sz w:val="32"/>
          <w:szCs w:val="32"/>
        </w:rPr>
        <w:t>质量指标</w:t>
      </w:r>
    </w:p>
    <w:p>
      <w:pPr>
        <w:numPr>
          <w:ilvl w:val="0"/>
          <w:numId w:val="0"/>
        </w:numPr>
        <w:spacing w:line="240" w:lineRule="auto"/>
        <w:ind w:left="630" w:leftChars="0"/>
        <w:outlineLvl w:val="9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（1）天然林森林资源蓄积量增长情况</w:t>
      </w:r>
    </w:p>
    <w:p>
      <w:pPr>
        <w:pStyle w:val="7"/>
        <w:rPr>
          <w:rFonts w:hint="default" w:ascii="仿宋_GB2312" w:hAnsi="仿宋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目标值为</w:t>
      </w:r>
      <w:r>
        <w:rPr>
          <w:rFonts w:hint="eastAsia" w:hAnsi="仿宋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持续增长</w:t>
      </w:r>
      <w:r>
        <w:rPr>
          <w:rFonts w:hint="eastAsia" w:ascii="仿宋_GB2312" w:hAnsi="仿宋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，</w:t>
      </w:r>
      <w:r>
        <w:rPr>
          <w:rFonts w:hint="eastAsia" w:hAnsi="仿宋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实际完成持续增长，</w:t>
      </w:r>
      <w:r>
        <w:rPr>
          <w:rFonts w:hint="eastAsia" w:ascii="仿宋_GB2312" w:hAnsi="仿宋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分值</w:t>
      </w:r>
      <w:r>
        <w:rPr>
          <w:rFonts w:hint="eastAsia" w:hAnsi="仿宋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7</w:t>
      </w:r>
      <w:r>
        <w:rPr>
          <w:rFonts w:hint="eastAsia" w:ascii="仿宋_GB2312" w:hAnsi="仿宋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分，得分</w:t>
      </w:r>
      <w:r>
        <w:rPr>
          <w:rFonts w:hint="eastAsia" w:hAnsi="仿宋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7</w:t>
      </w:r>
      <w:r>
        <w:rPr>
          <w:rFonts w:hint="eastAsia" w:ascii="仿宋_GB2312" w:hAnsi="仿宋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分。通过天然林资源保护修复，进一步恢复森林植被，增加森林蓄积，森林资源质量得到显著提升，对于建立资源结构合理、林地生产力高、稳定高效的森林生态系统具有重要作用。</w:t>
      </w:r>
    </w:p>
    <w:p>
      <w:pPr>
        <w:numPr>
          <w:ilvl w:val="0"/>
          <w:numId w:val="0"/>
        </w:numPr>
        <w:spacing w:line="240" w:lineRule="auto"/>
        <w:ind w:left="630" w:leftChars="0"/>
        <w:outlineLvl w:val="9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（2）国有林管护任务验收合格率</w:t>
      </w:r>
    </w:p>
    <w:p>
      <w:pPr>
        <w:widowControl/>
        <w:numPr>
          <w:ilvl w:val="0"/>
          <w:numId w:val="0"/>
        </w:numPr>
        <w:autoSpaceDE w:val="0"/>
        <w:autoSpaceDN w:val="0"/>
        <w:spacing w:line="560" w:lineRule="exact"/>
        <w:ind w:firstLine="640" w:firstLineChars="200"/>
        <w:jc w:val="left"/>
        <w:outlineLvl w:val="2"/>
        <w:rPr>
          <w:rFonts w:hint="eastAsia" w:ascii="仿宋_GB2312" w:hAnsi="仿宋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目标值为大于等于80%，实际完成93%，分值3分，得分3分。三区参与乌海市国有林管护验收汇报会时，能够按照资金管理办法规范使用资金，还需进一步完善实施方案。</w:t>
      </w:r>
    </w:p>
    <w:p>
      <w:pPr>
        <w:widowControl/>
        <w:numPr>
          <w:ilvl w:val="0"/>
          <w:numId w:val="0"/>
        </w:numPr>
        <w:autoSpaceDE w:val="0"/>
        <w:autoSpaceDN w:val="0"/>
        <w:spacing w:line="560" w:lineRule="exact"/>
        <w:ind w:firstLine="640" w:firstLineChars="200"/>
        <w:jc w:val="left"/>
        <w:outlineLvl w:val="2"/>
        <w:rPr>
          <w:rFonts w:hint="eastAsia" w:ascii="仿宋_GB2312" w:hAnsi="宋体" w:eastAsia="仿宋_GB2312" w:cs="宋体"/>
          <w:b w:val="0"/>
          <w:bCs w:val="0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 w:val="0"/>
          <w:bCs w:val="0"/>
          <w:color w:val="000000"/>
          <w:kern w:val="0"/>
          <w:sz w:val="32"/>
          <w:szCs w:val="32"/>
          <w:lang w:val="en-US" w:eastAsia="zh-CN"/>
        </w:rPr>
        <w:t>3.</w:t>
      </w:r>
      <w:r>
        <w:rPr>
          <w:rFonts w:hint="eastAsia" w:ascii="仿宋_GB2312" w:hAnsi="宋体" w:eastAsia="仿宋_GB2312" w:cs="宋体"/>
          <w:b w:val="0"/>
          <w:bCs w:val="0"/>
          <w:color w:val="000000"/>
          <w:kern w:val="0"/>
          <w:sz w:val="32"/>
          <w:szCs w:val="32"/>
        </w:rPr>
        <w:t>时效指标</w:t>
      </w:r>
    </w:p>
    <w:p>
      <w:pPr>
        <w:numPr>
          <w:ilvl w:val="0"/>
          <w:numId w:val="0"/>
        </w:numPr>
        <w:spacing w:line="240" w:lineRule="auto"/>
        <w:ind w:left="630" w:leftChars="0"/>
        <w:outlineLvl w:val="9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hAnsi="宋体" w:eastAsia="仿宋_GB2312" w:cs="宋体"/>
          <w:b w:val="0"/>
          <w:bCs w:val="0"/>
          <w:color w:val="000000"/>
          <w:kern w:val="0"/>
          <w:sz w:val="32"/>
          <w:szCs w:val="32"/>
          <w:lang w:eastAsia="zh-CN"/>
        </w:rPr>
        <w:t>（</w:t>
      </w:r>
      <w:r>
        <w:rPr>
          <w:rFonts w:hint="eastAsia" w:hAnsi="宋体" w:eastAsia="仿宋_GB2312" w:cs="宋体"/>
          <w:b w:val="0"/>
          <w:bCs w:val="0"/>
          <w:color w:val="000000"/>
          <w:kern w:val="0"/>
          <w:sz w:val="32"/>
          <w:szCs w:val="32"/>
          <w:lang w:val="en-US" w:eastAsia="zh-CN"/>
        </w:rPr>
        <w:t>1</w:t>
      </w:r>
      <w:r>
        <w:rPr>
          <w:rFonts w:hint="eastAsia" w:hAnsi="宋体" w:eastAsia="仿宋_GB2312" w:cs="宋体"/>
          <w:b w:val="0"/>
          <w:bCs w:val="0"/>
          <w:color w:val="000000"/>
          <w:kern w:val="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上级资金到位后资金项目落实时间</w:t>
      </w:r>
    </w:p>
    <w:p>
      <w:pPr>
        <w:numPr>
          <w:ilvl w:val="0"/>
          <w:numId w:val="0"/>
        </w:numPr>
        <w:spacing w:line="240" w:lineRule="auto"/>
        <w:ind w:firstLine="640" w:firstLineChars="200"/>
        <w:outlineLvl w:val="9"/>
        <w:rPr>
          <w:rFonts w:hint="eastAsia" w:ascii="仿宋_GB2312" w:hAnsi="仿宋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目标值为小于等于1个月，实际完成1个月，分值3分，得分3分。资金于30日内按时分配并下达至资金使用单位开始实施项目。</w:t>
      </w:r>
    </w:p>
    <w:p>
      <w:pPr>
        <w:numPr>
          <w:ilvl w:val="0"/>
          <w:numId w:val="0"/>
        </w:numPr>
        <w:spacing w:line="240" w:lineRule="auto"/>
        <w:ind w:firstLine="640" w:firstLineChars="200"/>
        <w:outlineLvl w:val="9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hAnsi="宋体" w:eastAsia="仿宋_GB2312" w:cs="宋体"/>
          <w:b w:val="0"/>
          <w:bCs w:val="0"/>
          <w:color w:val="000000"/>
          <w:kern w:val="0"/>
          <w:sz w:val="32"/>
          <w:szCs w:val="32"/>
          <w:lang w:eastAsia="zh-CN"/>
        </w:rPr>
        <w:t>（</w:t>
      </w:r>
      <w:r>
        <w:rPr>
          <w:rFonts w:hint="eastAsia" w:hAnsi="宋体" w:eastAsia="仿宋_GB2312" w:cs="宋体"/>
          <w:b w:val="0"/>
          <w:bCs w:val="0"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hint="eastAsia" w:hAnsi="宋体" w:eastAsia="仿宋_GB2312" w:cs="宋体"/>
          <w:b w:val="0"/>
          <w:bCs w:val="0"/>
          <w:color w:val="000000"/>
          <w:kern w:val="0"/>
          <w:sz w:val="32"/>
          <w:szCs w:val="32"/>
          <w:lang w:eastAsia="zh-CN"/>
        </w:rPr>
        <w:t>）国有林管护补助兑现率（%）</w:t>
      </w:r>
    </w:p>
    <w:p>
      <w:pPr>
        <w:numPr>
          <w:ilvl w:val="0"/>
          <w:numId w:val="0"/>
        </w:numPr>
        <w:spacing w:line="240" w:lineRule="auto"/>
        <w:ind w:firstLine="640" w:firstLineChars="200"/>
        <w:outlineLvl w:val="9"/>
        <w:rPr>
          <w:rFonts w:hint="default" w:eastAsia="仿宋_GB2312"/>
          <w:b w:val="0"/>
          <w:bCs w:val="0"/>
          <w:lang w:val="en-US" w:eastAsia="zh-CN"/>
        </w:rPr>
      </w:pPr>
      <w:r>
        <w:rPr>
          <w:rFonts w:hint="eastAsia" w:ascii="仿宋_GB2312" w:hAnsi="仿宋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目标值等于100%，实际完成100%，分值7分，得分7分。该项资金全部用于护林员工资支出。</w:t>
      </w:r>
    </w:p>
    <w:p>
      <w:pPr>
        <w:widowControl/>
        <w:numPr>
          <w:ilvl w:val="0"/>
          <w:numId w:val="8"/>
        </w:numPr>
        <w:autoSpaceDE w:val="0"/>
        <w:autoSpaceDN w:val="0"/>
        <w:spacing w:line="560" w:lineRule="exact"/>
        <w:ind w:firstLine="640" w:firstLineChars="200"/>
        <w:jc w:val="left"/>
        <w:outlineLvl w:val="2"/>
        <w:rPr>
          <w:rFonts w:hint="eastAsia" w:ascii="仿宋_GB2312" w:hAnsi="宋体" w:eastAsia="仿宋_GB2312" w:cs="宋体"/>
          <w:b w:val="0"/>
          <w:bCs w:val="0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 w:val="0"/>
          <w:bCs w:val="0"/>
          <w:color w:val="000000"/>
          <w:kern w:val="0"/>
          <w:sz w:val="32"/>
          <w:szCs w:val="32"/>
        </w:rPr>
        <w:t>成本指标</w:t>
      </w:r>
    </w:p>
    <w:p>
      <w:pPr>
        <w:pStyle w:val="7"/>
        <w:numPr>
          <w:ilvl w:val="0"/>
          <w:numId w:val="10"/>
        </w:numPr>
        <w:ind w:left="74" w:leftChars="0" w:firstLineChars="0"/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原天保工程区森林抚育成本（元/亩）</w:t>
      </w:r>
    </w:p>
    <w:p>
      <w:pPr>
        <w:numPr>
          <w:ilvl w:val="0"/>
          <w:numId w:val="0"/>
        </w:numPr>
        <w:spacing w:line="240" w:lineRule="auto"/>
        <w:ind w:firstLine="640" w:firstLineChars="200"/>
        <w:outlineLvl w:val="9"/>
        <w:rPr>
          <w:rFonts w:hint="eastAsia" w:ascii="仿宋_GB2312" w:hAnsi="仿宋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目标值为10元/亩，实际完成10元/亩，分值10分，得分10分。严格按照国有天然林管护中央财政补助标准进行补助，不存在补助不符情况。</w:t>
      </w:r>
    </w:p>
    <w:p>
      <w:pPr>
        <w:pageBreakBefore w:val="0"/>
        <w:widowControl/>
        <w:numPr>
          <w:ilvl w:val="0"/>
          <w:numId w:val="7"/>
        </w:numPr>
        <w:wordWrap/>
        <w:overflowPunct/>
        <w:topLinePunct w:val="0"/>
        <w:autoSpaceDE w:val="0"/>
        <w:autoSpaceDN w:val="0"/>
        <w:bidi w:val="0"/>
        <w:spacing w:line="560" w:lineRule="exact"/>
        <w:ind w:left="0" w:leftChars="0" w:firstLine="640" w:firstLineChars="200"/>
        <w:jc w:val="left"/>
        <w:outlineLvl w:val="1"/>
        <w:rPr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32"/>
          <w:szCs w:val="32"/>
          <w:lang w:val="en-US" w:eastAsia="zh-CN"/>
        </w:rPr>
        <w:t>效益指标完成情况</w:t>
      </w:r>
    </w:p>
    <w:p>
      <w:pPr>
        <w:widowControl/>
        <w:numPr>
          <w:ilvl w:val="0"/>
          <w:numId w:val="11"/>
        </w:numPr>
        <w:autoSpaceDE w:val="0"/>
        <w:autoSpaceDN w:val="0"/>
        <w:spacing w:line="560" w:lineRule="exact"/>
        <w:ind w:firstLine="640" w:firstLineChars="200"/>
        <w:jc w:val="left"/>
        <w:outlineLvl w:val="2"/>
        <w:rPr>
          <w:rFonts w:hint="eastAsia" w:ascii="仿宋_GB2312" w:hAnsi="仿宋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宋体"/>
          <w:b w:val="0"/>
          <w:bCs w:val="0"/>
          <w:color w:val="000000"/>
          <w:kern w:val="0"/>
          <w:sz w:val="32"/>
          <w:szCs w:val="32"/>
          <w:lang w:val="en-US" w:eastAsia="zh-CN"/>
        </w:rPr>
        <w:t>社会</w:t>
      </w:r>
      <w:r>
        <w:rPr>
          <w:rFonts w:hint="eastAsia" w:ascii="仿宋_GB2312" w:hAnsi="宋体" w:eastAsia="仿宋_GB2312" w:cs="宋体"/>
          <w:b w:val="0"/>
          <w:bCs w:val="0"/>
          <w:color w:val="000000"/>
          <w:kern w:val="0"/>
          <w:sz w:val="32"/>
          <w:szCs w:val="32"/>
        </w:rPr>
        <w:t>效益</w:t>
      </w:r>
      <w:r>
        <w:rPr>
          <w:rFonts w:hint="eastAsia" w:ascii="仿宋_GB2312" w:hAnsi="宋体" w:eastAsia="仿宋_GB2312" w:cs="宋体"/>
          <w:b w:val="0"/>
          <w:bCs w:val="0"/>
          <w:color w:val="000000"/>
          <w:kern w:val="0"/>
          <w:sz w:val="32"/>
          <w:szCs w:val="32"/>
          <w:lang w:val="en-US" w:eastAsia="zh-CN"/>
        </w:rPr>
        <w:t>指标</w:t>
      </w:r>
    </w:p>
    <w:p>
      <w:pPr>
        <w:pStyle w:val="7"/>
        <w:numPr>
          <w:ilvl w:val="0"/>
          <w:numId w:val="0"/>
        </w:numPr>
        <w:ind w:left="630" w:leftChars="0"/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（1）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林区民生状况</w:t>
      </w:r>
    </w:p>
    <w:p>
      <w:pPr>
        <w:widowControl/>
        <w:numPr>
          <w:ilvl w:val="0"/>
          <w:numId w:val="0"/>
        </w:numPr>
        <w:autoSpaceDE w:val="0"/>
        <w:autoSpaceDN w:val="0"/>
        <w:spacing w:line="560" w:lineRule="exact"/>
        <w:ind w:firstLine="640" w:firstLineChars="200"/>
        <w:jc w:val="left"/>
        <w:outlineLvl w:val="2"/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目标值逐步改善，实际完成逐步改善，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分值10分，得分10分。天然林资源保护修复实施以来，林业职工收入有较大提高，住房、饮水、取暖、交通等生产生活条件有了一定的改善。一系列保障措施的实施，使林业职工群众的生活水平显著提高，精神面貌焕然一新，促进了社会的和谐发展。</w:t>
      </w:r>
    </w:p>
    <w:p>
      <w:pPr>
        <w:widowControl/>
        <w:numPr>
          <w:ilvl w:val="0"/>
          <w:numId w:val="11"/>
        </w:numPr>
        <w:autoSpaceDE w:val="0"/>
        <w:autoSpaceDN w:val="0"/>
        <w:spacing w:line="560" w:lineRule="exact"/>
        <w:ind w:firstLine="640" w:firstLineChars="200"/>
        <w:jc w:val="left"/>
        <w:outlineLvl w:val="2"/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宋体"/>
          <w:b w:val="0"/>
          <w:bCs w:val="0"/>
          <w:color w:val="000000"/>
          <w:kern w:val="0"/>
          <w:sz w:val="32"/>
          <w:szCs w:val="32"/>
        </w:rPr>
        <w:t>可持续影响</w:t>
      </w:r>
      <w:r>
        <w:rPr>
          <w:rFonts w:hint="eastAsia" w:ascii="仿宋_GB2312" w:hAnsi="宋体" w:eastAsia="仿宋_GB2312" w:cs="宋体"/>
          <w:b w:val="0"/>
          <w:bCs w:val="0"/>
          <w:color w:val="000000"/>
          <w:kern w:val="0"/>
          <w:sz w:val="32"/>
          <w:szCs w:val="32"/>
          <w:lang w:val="en-US" w:eastAsia="zh-CN"/>
        </w:rPr>
        <w:t>指标</w:t>
      </w:r>
    </w:p>
    <w:p>
      <w:pPr>
        <w:widowControl/>
        <w:numPr>
          <w:ilvl w:val="0"/>
          <w:numId w:val="12"/>
        </w:numPr>
        <w:autoSpaceDE w:val="0"/>
        <w:autoSpaceDN w:val="0"/>
        <w:spacing w:line="560" w:lineRule="exact"/>
        <w:ind w:firstLine="640" w:firstLineChars="200"/>
        <w:jc w:val="left"/>
        <w:outlineLvl w:val="2"/>
        <w:rPr>
          <w:rFonts w:hint="eastAsia" w:ascii="仿宋_GB2312" w:hAnsi="仿宋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持续发挥生态作用</w:t>
      </w:r>
    </w:p>
    <w:p>
      <w:pPr>
        <w:pageBreakBefore w:val="0"/>
        <w:widowControl/>
        <w:numPr>
          <w:ilvl w:val="0"/>
          <w:numId w:val="0"/>
        </w:numPr>
        <w:wordWrap/>
        <w:overflowPunct/>
        <w:topLinePunct w:val="0"/>
        <w:autoSpaceDE w:val="0"/>
        <w:autoSpaceDN w:val="0"/>
        <w:bidi w:val="0"/>
        <w:spacing w:line="560" w:lineRule="exact"/>
        <w:ind w:firstLine="640" w:firstLineChars="200"/>
        <w:jc w:val="left"/>
        <w:outlineLvl w:val="1"/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目标值</w:t>
      </w:r>
      <w:r>
        <w:rPr>
          <w:rFonts w:hint="eastAsia" w:hAnsi="仿宋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显著，实际完成显著，</w:t>
      </w:r>
      <w:r>
        <w:rPr>
          <w:rFonts w:hint="eastAsia" w:ascii="仿宋_GB2312" w:hAnsi="仿宋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分值10分，得分</w:t>
      </w:r>
      <w:r>
        <w:rPr>
          <w:rFonts w:hint="eastAsia" w:hAnsi="仿宋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10</w:t>
      </w:r>
      <w:r>
        <w:rPr>
          <w:rFonts w:hint="eastAsia" w:ascii="仿宋_GB2312" w:hAnsi="仿宋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分。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通过天然林资源保护修复措施的实施，使森林植被得到最大程度的恢复，构建安全稳定的生态屏障，更进一步保护农牧业及工业生产环境，确保持续发挥生态作用效果显著。</w:t>
      </w:r>
    </w:p>
    <w:p>
      <w:pPr>
        <w:pageBreakBefore w:val="0"/>
        <w:widowControl/>
        <w:numPr>
          <w:ilvl w:val="0"/>
          <w:numId w:val="12"/>
        </w:numPr>
        <w:wordWrap/>
        <w:overflowPunct/>
        <w:topLinePunct w:val="0"/>
        <w:autoSpaceDE w:val="0"/>
        <w:autoSpaceDN w:val="0"/>
        <w:bidi w:val="0"/>
        <w:spacing w:line="560" w:lineRule="exact"/>
        <w:ind w:left="0" w:leftChars="0" w:firstLine="640" w:firstLineChars="200"/>
        <w:jc w:val="left"/>
        <w:outlineLvl w:val="1"/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国有林区(林场)社会稳定</w:t>
      </w:r>
    </w:p>
    <w:p>
      <w:pPr>
        <w:pageBreakBefore w:val="0"/>
        <w:widowControl/>
        <w:numPr>
          <w:ilvl w:val="0"/>
          <w:numId w:val="0"/>
        </w:numPr>
        <w:wordWrap/>
        <w:overflowPunct/>
        <w:topLinePunct w:val="0"/>
        <w:autoSpaceDE w:val="0"/>
        <w:autoSpaceDN w:val="0"/>
        <w:bidi w:val="0"/>
        <w:spacing w:line="560" w:lineRule="exact"/>
        <w:ind w:firstLine="640" w:firstLineChars="200"/>
        <w:jc w:val="left"/>
        <w:outlineLvl w:val="1"/>
        <w:rPr>
          <w:rFonts w:hint="default"/>
          <w:lang w:val="en-US" w:eastAsia="zh-CN"/>
        </w:rPr>
      </w:pP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目标值稳定，实际完成稳定，分值10分，得分10分。通过实施天然林资源保护修复，加快林业建设发展，对改善当地工农生产条件，人民生活环境，保护包兰铁路、110国道安全畅通，减轻对下游地区的危害，都具有重要意义，受益对象广泛。</w:t>
      </w:r>
    </w:p>
    <w:p>
      <w:pPr>
        <w:pageBreakBefore w:val="0"/>
        <w:widowControl/>
        <w:numPr>
          <w:ilvl w:val="0"/>
          <w:numId w:val="7"/>
        </w:numPr>
        <w:wordWrap/>
        <w:overflowPunct/>
        <w:topLinePunct w:val="0"/>
        <w:autoSpaceDE w:val="0"/>
        <w:autoSpaceDN w:val="0"/>
        <w:bidi w:val="0"/>
        <w:spacing w:line="560" w:lineRule="exact"/>
        <w:ind w:left="0" w:leftChars="0" w:firstLine="640" w:firstLineChars="200"/>
        <w:jc w:val="left"/>
        <w:outlineLvl w:val="1"/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  <w:lang w:val="en-US" w:eastAsia="zh-CN"/>
        </w:rPr>
        <w:t>满意度指标完成情况</w:t>
      </w:r>
    </w:p>
    <w:p>
      <w:pPr>
        <w:ind w:firstLine="640" w:firstLineChars="200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（1）退耕农户、牧民和周边群众满意度</w:t>
      </w:r>
    </w:p>
    <w:p>
      <w:pPr>
        <w:ind w:firstLine="640" w:firstLineChars="200"/>
        <w:outlineLvl w:val="9"/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指标值大于等于90%，全年实际完成值96.5%。向林区职工、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周边群众发放并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收到满意度调查问卷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份，满意率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96.5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%。</w:t>
      </w:r>
    </w:p>
    <w:p>
      <w:pPr>
        <w:pageBreakBefore w:val="0"/>
        <w:widowControl/>
        <w:numPr>
          <w:ilvl w:val="0"/>
          <w:numId w:val="7"/>
        </w:numPr>
        <w:wordWrap/>
        <w:overflowPunct/>
        <w:topLinePunct w:val="0"/>
        <w:autoSpaceDE w:val="0"/>
        <w:autoSpaceDN w:val="0"/>
        <w:bidi w:val="0"/>
        <w:spacing w:line="560" w:lineRule="exact"/>
        <w:ind w:left="0" w:leftChars="0" w:firstLine="640" w:firstLineChars="200"/>
        <w:jc w:val="left"/>
        <w:outlineLvl w:val="1"/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  <w:lang w:val="en-US" w:eastAsia="zh-CN"/>
        </w:rPr>
        <w:t>自评得分情况</w:t>
      </w:r>
    </w:p>
    <w:p>
      <w:pPr>
        <w:ind w:firstLine="640" w:firstLineChars="200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本项目绩效自评得分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</w:rPr>
        <w:t>分，等级为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A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通过国有林资源保护修复等措施，促进林木生长发育，有效改善林龄、林种、树种结构，提高林木生长量和林地产出效率，降低森林病虫害、火灾、气候灾害的危害程度，维护森林健康，增加资源储备。</w:t>
      </w:r>
    </w:p>
    <w:p>
      <w:pPr>
        <w:pStyle w:val="5"/>
        <w:pageBreakBefore w:val="0"/>
        <w:numPr>
          <w:ilvl w:val="0"/>
          <w:numId w:val="2"/>
        </w:numPr>
        <w:wordWrap/>
        <w:overflowPunct/>
        <w:topLinePunct w:val="0"/>
        <w:bidi w:val="0"/>
        <w:spacing w:before="0" w:beforeLines="0" w:after="0" w:afterLines="0" w:line="560" w:lineRule="exact"/>
        <w:ind w:left="0" w:leftChars="0"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存在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问题</w:t>
      </w:r>
    </w:p>
    <w:p>
      <w:pPr>
        <w:pageBreakBefore w:val="0"/>
        <w:widowControl/>
        <w:numPr>
          <w:ilvl w:val="0"/>
          <w:numId w:val="13"/>
        </w:numPr>
        <w:wordWrap/>
        <w:overflowPunct/>
        <w:topLinePunct w:val="0"/>
        <w:autoSpaceDE w:val="0"/>
        <w:autoSpaceDN w:val="0"/>
        <w:bidi w:val="0"/>
        <w:spacing w:line="560" w:lineRule="exact"/>
        <w:ind w:left="0" w:leftChars="0" w:firstLine="640" w:firstLineChars="200"/>
        <w:jc w:val="left"/>
        <w:outlineLvl w:val="1"/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  <w:lang w:val="en-US" w:eastAsia="zh-CN"/>
        </w:rPr>
        <w:t>项目立项、实施存在问题</w:t>
      </w:r>
    </w:p>
    <w:p>
      <w:pPr>
        <w:pageBreakBefore w:val="0"/>
        <w:widowControl/>
        <w:numPr>
          <w:ilvl w:val="0"/>
          <w:numId w:val="0"/>
        </w:numPr>
        <w:wordWrap/>
        <w:overflowPunct/>
        <w:topLinePunct w:val="0"/>
        <w:autoSpaceDE w:val="0"/>
        <w:autoSpaceDN w:val="0"/>
        <w:bidi w:val="0"/>
        <w:spacing w:line="560" w:lineRule="exact"/>
        <w:ind w:firstLine="640" w:firstLineChars="200"/>
        <w:jc w:val="left"/>
        <w:outlineLvl w:val="1"/>
        <w:rPr>
          <w:rFonts w:hint="default" w:hAnsi="仿宋" w:eastAsia="仿宋_GB2312" w:cs="Times New Roman"/>
          <w:kern w:val="2"/>
          <w:sz w:val="32"/>
          <w:szCs w:val="32"/>
          <w:lang w:val="en-US" w:eastAsia="zh-CN"/>
        </w:rPr>
      </w:pPr>
      <w:r>
        <w:rPr>
          <w:rFonts w:hint="eastAsia" w:hAnsi="仿宋" w:eastAsia="仿宋_GB2312" w:cs="Times New Roman"/>
          <w:kern w:val="2"/>
          <w:sz w:val="32"/>
          <w:szCs w:val="32"/>
          <w:lang w:val="en-US" w:eastAsia="zh-CN"/>
        </w:rPr>
        <w:t>海南区管护面积大、灌木林相对稀疏且分布范围广，管护难度较大。</w:t>
      </w:r>
    </w:p>
    <w:p>
      <w:pPr>
        <w:pageBreakBefore w:val="0"/>
        <w:widowControl/>
        <w:numPr>
          <w:ilvl w:val="0"/>
          <w:numId w:val="0"/>
        </w:numPr>
        <w:wordWrap/>
        <w:overflowPunct/>
        <w:topLinePunct w:val="0"/>
        <w:autoSpaceDE w:val="0"/>
        <w:autoSpaceDN w:val="0"/>
        <w:bidi w:val="0"/>
        <w:spacing w:line="560" w:lineRule="exact"/>
        <w:ind w:firstLine="640" w:firstLineChars="200"/>
        <w:jc w:val="left"/>
        <w:outlineLvl w:val="1"/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  <w:lang w:val="en-US" w:eastAsia="zh-CN"/>
        </w:rPr>
        <w:t>（二）资金管理使用存在问题</w:t>
      </w:r>
    </w:p>
    <w:p>
      <w:pPr>
        <w:pStyle w:val="7"/>
        <w:rPr>
          <w:rFonts w:hint="default"/>
          <w:lang w:val="en-US" w:eastAsia="zh-CN"/>
        </w:rPr>
      </w:pPr>
      <w:r>
        <w:rPr>
          <w:rFonts w:hint="eastAsia" w:hAnsi="仿宋" w:eastAsia="仿宋_GB2312" w:cs="Times New Roman"/>
          <w:kern w:val="2"/>
          <w:sz w:val="32"/>
          <w:szCs w:val="32"/>
          <w:lang w:val="en-US" w:eastAsia="zh-CN"/>
        </w:rPr>
        <w:t>资金支出范围大部分仅用于管护人员工资，用于宣传、培训、档案管理等方面的支出不足。</w:t>
      </w:r>
    </w:p>
    <w:p>
      <w:pPr>
        <w:pStyle w:val="5"/>
        <w:pageBreakBefore w:val="0"/>
        <w:numPr>
          <w:ilvl w:val="0"/>
          <w:numId w:val="2"/>
        </w:numPr>
        <w:wordWrap/>
        <w:overflowPunct/>
        <w:topLinePunct w:val="0"/>
        <w:bidi w:val="0"/>
        <w:spacing w:before="0" w:beforeLines="0" w:after="0" w:afterLines="0" w:line="560" w:lineRule="exact"/>
        <w:ind w:left="0" w:leftChars="0"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其他需要说明的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问题</w:t>
      </w:r>
    </w:p>
    <w:p>
      <w:pPr>
        <w:pageBreakBefore w:val="0"/>
        <w:widowControl/>
        <w:numPr>
          <w:ilvl w:val="0"/>
          <w:numId w:val="14"/>
        </w:numPr>
        <w:wordWrap/>
        <w:overflowPunct/>
        <w:topLinePunct w:val="0"/>
        <w:autoSpaceDE w:val="0"/>
        <w:autoSpaceDN w:val="0"/>
        <w:bidi w:val="0"/>
        <w:spacing w:line="560" w:lineRule="exact"/>
        <w:ind w:left="0" w:leftChars="0" w:firstLine="640" w:firstLineChars="200"/>
        <w:jc w:val="left"/>
        <w:outlineLvl w:val="1"/>
        <w:rPr>
          <w:rFonts w:hint="default" w:ascii="楷体_GB2312" w:hAnsi="楷体_GB2312" w:eastAsia="楷体_GB2312" w:cs="楷体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  <w:lang w:val="en-US" w:eastAsia="zh-CN"/>
        </w:rPr>
        <w:t>绩效自评结果拟应用和公开情况</w:t>
      </w:r>
    </w:p>
    <w:p>
      <w:pPr>
        <w:pStyle w:val="7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我单位将建立健全绩效评价结果反馈制度和绩效问题整改责任制,形成一套反馈、整改、提升的良性绩效运行机制。实现评价结果与制定政策、预算安排、完善管理的深度结合。针对此次自评发现的问题,我单位将积极改正,避免同类问题重复发生,按照要求,及时申报项目目标,同时合理安排项目预算。后续将根据上级要求公开。</w:t>
      </w:r>
    </w:p>
    <w:p>
      <w:pPr>
        <w:pageBreakBefore w:val="0"/>
        <w:widowControl/>
        <w:numPr>
          <w:ilvl w:val="0"/>
          <w:numId w:val="14"/>
        </w:numPr>
        <w:wordWrap/>
        <w:overflowPunct/>
        <w:topLinePunct w:val="0"/>
        <w:autoSpaceDE w:val="0"/>
        <w:autoSpaceDN w:val="0"/>
        <w:bidi w:val="0"/>
        <w:spacing w:line="560" w:lineRule="exact"/>
        <w:ind w:left="0" w:leftChars="0" w:firstLine="640" w:firstLineChars="200"/>
        <w:jc w:val="left"/>
        <w:outlineLvl w:val="1"/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  <w:lang w:val="en-US" w:eastAsia="zh-CN"/>
        </w:rPr>
        <w:t>后续工作计划</w:t>
      </w:r>
    </w:p>
    <w:p>
      <w:pPr>
        <w:pStyle w:val="7"/>
        <w:rPr>
          <w:rFonts w:hint="default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以巩固天然林修复建设成果为基础，以保护和培育</w:t>
      </w:r>
      <w:r>
        <w:rPr>
          <w:rFonts w:hint="eastAsia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国有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林资源为核心，以保障和改善民生为宗旨，以调整完善政策为保障，加大投入力度，推进林业改革，提升发展能力，努力实现资源增长、质量提升、生态良好、民生改善、林业和谐。</w:t>
      </w:r>
    </w:p>
    <w:p>
      <w:pPr>
        <w:pageBreakBefore w:val="0"/>
        <w:widowControl/>
        <w:numPr>
          <w:ilvl w:val="0"/>
          <w:numId w:val="14"/>
        </w:numPr>
        <w:wordWrap/>
        <w:overflowPunct/>
        <w:topLinePunct w:val="0"/>
        <w:autoSpaceDE w:val="0"/>
        <w:autoSpaceDN w:val="0"/>
        <w:bidi w:val="0"/>
        <w:spacing w:line="560" w:lineRule="exact"/>
        <w:ind w:left="0" w:leftChars="0" w:firstLine="640" w:firstLineChars="200"/>
        <w:jc w:val="left"/>
        <w:outlineLvl w:val="1"/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  <w:lang w:val="en-US" w:eastAsia="zh-CN"/>
        </w:rPr>
        <w:t>措施及办法</w:t>
      </w:r>
    </w:p>
    <w:p>
      <w:pPr>
        <w:pStyle w:val="5"/>
        <w:pageBreakBefore w:val="0"/>
        <w:numPr>
          <w:ilvl w:val="0"/>
          <w:numId w:val="0"/>
        </w:numPr>
        <w:wordWrap/>
        <w:overflowPunct/>
        <w:topLinePunct w:val="0"/>
        <w:bidi w:val="0"/>
        <w:spacing w:before="0" w:beforeLines="0" w:after="0" w:afterLines="0" w:line="560" w:lineRule="exact"/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kern w:val="0"/>
          <w:sz w:val="32"/>
          <w:szCs w:val="32"/>
          <w:lang w:val="en-US" w:eastAsia="zh-CN"/>
        </w:rPr>
        <w:t>建立健全护林员管理机制，充分发挥各级林长作用，拉紧责任链条，加强督导检查、考核问效，把三级林长和重点生态区域作为主战场，压实各级林长责任，坚持不懈抓好生态保护，坚决守住生态安全底线。</w:t>
      </w:r>
    </w:p>
    <w:p>
      <w:pPr>
        <w:pStyle w:val="5"/>
        <w:pageBreakBefore w:val="0"/>
        <w:numPr>
          <w:ilvl w:val="0"/>
          <w:numId w:val="2"/>
        </w:numPr>
        <w:wordWrap/>
        <w:overflowPunct/>
        <w:topLinePunct w:val="0"/>
        <w:bidi w:val="0"/>
        <w:spacing w:before="0" w:beforeLines="0" w:after="0" w:afterLines="0" w:line="560" w:lineRule="exact"/>
        <w:ind w:left="0" w:leftChars="0"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附件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国有林保护修复补助绩效自评表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sectPr>
      <w:footerReference r:id="rId4" w:type="default"/>
      <w:footerReference r:id="rId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F5587C5-7EB7-4C9B-B14E-9C33E7A0AC0F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D3F3D0A4-C106-4F4E-8B2F-B312E7AE8B5F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5E569E99-C252-4D7B-B173-82529D195967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4" w:fontKey="{E6A1F178-D555-458A-9C71-03E62C6A14E9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9BA55258-F5D8-4316-968B-F059CF3829A1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jc w:val="right"/>
      <w:rPr>
        <w:rFonts w:ascii="宋体" w:hAnsi="宋体"/>
        <w:sz w:val="28"/>
        <w:szCs w:val="28"/>
      </w:rPr>
    </w:pPr>
  </w:p>
  <w:p>
    <w:pPr>
      <w:pStyle w:val="10"/>
      <w:jc w:val="right"/>
      <w:rPr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jc w:val="right"/>
      <w:rPr>
        <w:rFonts w:ascii="宋体" w:hAnsi="宋体"/>
        <w:sz w:val="28"/>
        <w:szCs w:val="28"/>
      </w:rPr>
    </w:pPr>
  </w:p>
  <w:p>
    <w:pPr>
      <w:pStyle w:val="10"/>
      <w:jc w:val="right"/>
      <w:rPr>
        <w:sz w:val="28"/>
        <w:szCs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</w:p>
  <w:p>
    <w:pPr>
      <w:pStyle w:val="1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BA7545"/>
    <w:multiLevelType w:val="singleLevel"/>
    <w:tmpl w:val="85BA7545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952B51A3"/>
    <w:multiLevelType w:val="singleLevel"/>
    <w:tmpl w:val="952B51A3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9BA34D51"/>
    <w:multiLevelType w:val="singleLevel"/>
    <w:tmpl w:val="9BA34D51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B0877648"/>
    <w:multiLevelType w:val="singleLevel"/>
    <w:tmpl w:val="B0877648"/>
    <w:lvl w:ilvl="0" w:tentative="0">
      <w:start w:val="1"/>
      <w:numFmt w:val="decimal"/>
      <w:suff w:val="nothing"/>
      <w:lvlText w:val="（%1）"/>
      <w:lvlJc w:val="left"/>
      <w:pPr>
        <w:ind w:left="74"/>
      </w:pPr>
    </w:lvl>
  </w:abstractNum>
  <w:abstractNum w:abstractNumId="4">
    <w:nsid w:val="B2073625"/>
    <w:multiLevelType w:val="singleLevel"/>
    <w:tmpl w:val="B2073625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5">
    <w:nsid w:val="D9059F33"/>
    <w:multiLevelType w:val="singleLevel"/>
    <w:tmpl w:val="D9059F33"/>
    <w:lvl w:ilvl="0" w:tentative="0">
      <w:start w:val="1"/>
      <w:numFmt w:val="decimal"/>
      <w:suff w:val="nothing"/>
      <w:lvlText w:val="（%1）"/>
      <w:lvlJc w:val="left"/>
      <w:pPr>
        <w:ind w:left="-12"/>
      </w:pPr>
    </w:lvl>
  </w:abstractNum>
  <w:abstractNum w:abstractNumId="6">
    <w:nsid w:val="D938FA6E"/>
    <w:multiLevelType w:val="multilevel"/>
    <w:tmpl w:val="D938FA6E"/>
    <w:lvl w:ilvl="0" w:tentative="0">
      <w:start w:val="3"/>
      <w:numFmt w:val="decimal"/>
      <w:pStyle w:val="5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pStyle w:val="6"/>
      <w:lvlText w:val="%1.%2."/>
      <w:lvlJc w:val="left"/>
      <w:pPr>
        <w:ind w:left="575" w:hanging="575"/>
      </w:pPr>
      <w:rPr>
        <w:rFonts w:hint="default" w:ascii="宋体" w:hAnsi="宋体" w:eastAsia="宋体" w:cs="宋体"/>
      </w:rPr>
    </w:lvl>
    <w:lvl w:ilvl="2" w:tentative="0">
      <w:start w:val="1"/>
      <w:numFmt w:val="decimal"/>
      <w:pStyle w:val="8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7">
    <w:nsid w:val="FEA41472"/>
    <w:multiLevelType w:val="singleLevel"/>
    <w:tmpl w:val="FEA41472"/>
    <w:lvl w:ilvl="0" w:tentative="0">
      <w:start w:val="1"/>
      <w:numFmt w:val="decimal"/>
      <w:suff w:val="nothing"/>
      <w:lvlText w:val="（%1）"/>
      <w:lvlJc w:val="left"/>
    </w:lvl>
  </w:abstractNum>
  <w:abstractNum w:abstractNumId="8">
    <w:nsid w:val="29F8B220"/>
    <w:multiLevelType w:val="singleLevel"/>
    <w:tmpl w:val="29F8B220"/>
    <w:lvl w:ilvl="0" w:tentative="0">
      <w:start w:val="1"/>
      <w:numFmt w:val="decimal"/>
      <w:suff w:val="nothing"/>
      <w:lvlText w:val="%1、"/>
      <w:lvlJc w:val="left"/>
    </w:lvl>
  </w:abstractNum>
  <w:abstractNum w:abstractNumId="9">
    <w:nsid w:val="46F76BFF"/>
    <w:multiLevelType w:val="singleLevel"/>
    <w:tmpl w:val="46F76BFF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0">
    <w:nsid w:val="47149EB8"/>
    <w:multiLevelType w:val="singleLevel"/>
    <w:tmpl w:val="47149EB8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1">
    <w:nsid w:val="4D5D9A2E"/>
    <w:multiLevelType w:val="singleLevel"/>
    <w:tmpl w:val="4D5D9A2E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2">
    <w:nsid w:val="686D7B85"/>
    <w:multiLevelType w:val="singleLevel"/>
    <w:tmpl w:val="686D7B85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3">
    <w:nsid w:val="7471572F"/>
    <w:multiLevelType w:val="singleLevel"/>
    <w:tmpl w:val="7471572F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6"/>
  </w:num>
  <w:num w:numId="2">
    <w:abstractNumId w:val="13"/>
  </w:num>
  <w:num w:numId="3">
    <w:abstractNumId w:val="12"/>
  </w:num>
  <w:num w:numId="4">
    <w:abstractNumId w:val="1"/>
  </w:num>
  <w:num w:numId="5">
    <w:abstractNumId w:val="8"/>
  </w:num>
  <w:num w:numId="6">
    <w:abstractNumId w:val="11"/>
  </w:num>
  <w:num w:numId="7">
    <w:abstractNumId w:val="0"/>
  </w:num>
  <w:num w:numId="8">
    <w:abstractNumId w:val="4"/>
  </w:num>
  <w:num w:numId="9">
    <w:abstractNumId w:val="5"/>
  </w:num>
  <w:num w:numId="10">
    <w:abstractNumId w:val="3"/>
  </w:num>
  <w:num w:numId="11">
    <w:abstractNumId w:val="9"/>
  </w:num>
  <w:num w:numId="12">
    <w:abstractNumId w:val="7"/>
  </w:num>
  <w:num w:numId="13">
    <w:abstractNumId w:val="10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I1NzFkMTEyNTUzY2FjZTZjZjQ5YmE3YWE1ZTZlZjEifQ=="/>
  </w:docVars>
  <w:rsids>
    <w:rsidRoot w:val="00172A27"/>
    <w:rsid w:val="00065E9C"/>
    <w:rsid w:val="00172A27"/>
    <w:rsid w:val="002543C7"/>
    <w:rsid w:val="00394178"/>
    <w:rsid w:val="00417664"/>
    <w:rsid w:val="005124A3"/>
    <w:rsid w:val="005637A2"/>
    <w:rsid w:val="00591EC5"/>
    <w:rsid w:val="007263A5"/>
    <w:rsid w:val="007E4EEE"/>
    <w:rsid w:val="00914410"/>
    <w:rsid w:val="00997552"/>
    <w:rsid w:val="00A34ADB"/>
    <w:rsid w:val="00A950F9"/>
    <w:rsid w:val="00C241A6"/>
    <w:rsid w:val="00FB6CAA"/>
    <w:rsid w:val="037B3903"/>
    <w:rsid w:val="05355365"/>
    <w:rsid w:val="05AA26F5"/>
    <w:rsid w:val="0613286F"/>
    <w:rsid w:val="0A9F31A7"/>
    <w:rsid w:val="0B9D6B79"/>
    <w:rsid w:val="0DEA213D"/>
    <w:rsid w:val="0F316DA2"/>
    <w:rsid w:val="0FF46FAA"/>
    <w:rsid w:val="11EE6DFD"/>
    <w:rsid w:val="11F03528"/>
    <w:rsid w:val="1309766F"/>
    <w:rsid w:val="150F6138"/>
    <w:rsid w:val="15B036FB"/>
    <w:rsid w:val="15F23802"/>
    <w:rsid w:val="1613507A"/>
    <w:rsid w:val="188C387F"/>
    <w:rsid w:val="1F1B2F62"/>
    <w:rsid w:val="2015571A"/>
    <w:rsid w:val="23E85433"/>
    <w:rsid w:val="248666E2"/>
    <w:rsid w:val="249E0BE9"/>
    <w:rsid w:val="249F0951"/>
    <w:rsid w:val="257F5A82"/>
    <w:rsid w:val="285D6E5F"/>
    <w:rsid w:val="2A6C477F"/>
    <w:rsid w:val="2D9E086B"/>
    <w:rsid w:val="302A5E02"/>
    <w:rsid w:val="305647D3"/>
    <w:rsid w:val="35635038"/>
    <w:rsid w:val="35B66D2D"/>
    <w:rsid w:val="38EF77E6"/>
    <w:rsid w:val="38F86E77"/>
    <w:rsid w:val="3B8C07AD"/>
    <w:rsid w:val="3EC70B68"/>
    <w:rsid w:val="3F687A6E"/>
    <w:rsid w:val="460A3F75"/>
    <w:rsid w:val="483E707B"/>
    <w:rsid w:val="48493294"/>
    <w:rsid w:val="491865BC"/>
    <w:rsid w:val="4B2F465E"/>
    <w:rsid w:val="4B8A2F0A"/>
    <w:rsid w:val="4BFF00CF"/>
    <w:rsid w:val="4C6D5A5D"/>
    <w:rsid w:val="4D876495"/>
    <w:rsid w:val="4E57601D"/>
    <w:rsid w:val="4EA7589C"/>
    <w:rsid w:val="4FA238E1"/>
    <w:rsid w:val="50FF6BCD"/>
    <w:rsid w:val="51582ACD"/>
    <w:rsid w:val="523764C0"/>
    <w:rsid w:val="526E2888"/>
    <w:rsid w:val="55215E2F"/>
    <w:rsid w:val="554A2885"/>
    <w:rsid w:val="57222182"/>
    <w:rsid w:val="59952214"/>
    <w:rsid w:val="5A6902AC"/>
    <w:rsid w:val="5A973660"/>
    <w:rsid w:val="5C8841AF"/>
    <w:rsid w:val="5CAC4AD0"/>
    <w:rsid w:val="5E3D6C8F"/>
    <w:rsid w:val="5EEF2CC0"/>
    <w:rsid w:val="5F8A2BF1"/>
    <w:rsid w:val="62DB44E4"/>
    <w:rsid w:val="646601F1"/>
    <w:rsid w:val="656C2114"/>
    <w:rsid w:val="68183C19"/>
    <w:rsid w:val="6AE34FE9"/>
    <w:rsid w:val="6D5F7789"/>
    <w:rsid w:val="6DC16268"/>
    <w:rsid w:val="6E09652D"/>
    <w:rsid w:val="6E630DF0"/>
    <w:rsid w:val="70023FAF"/>
    <w:rsid w:val="70A348C5"/>
    <w:rsid w:val="727A36E2"/>
    <w:rsid w:val="735008A6"/>
    <w:rsid w:val="738D1A22"/>
    <w:rsid w:val="73A14D97"/>
    <w:rsid w:val="75250015"/>
    <w:rsid w:val="78C62863"/>
    <w:rsid w:val="7987300C"/>
    <w:rsid w:val="7A365577"/>
    <w:rsid w:val="7B6C0247"/>
    <w:rsid w:val="7C703D67"/>
    <w:rsid w:val="7ED25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qFormat="1" w:unhideWhenUsed="0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2"/>
      <w:lang w:val="en-US" w:eastAsia="zh-CN" w:bidi="ar-SA"/>
    </w:rPr>
  </w:style>
  <w:style w:type="paragraph" w:styleId="5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after="330" w:line="576" w:lineRule="auto"/>
      <w:outlineLvl w:val="0"/>
    </w:pPr>
    <w:rPr>
      <w:b/>
      <w:kern w:val="44"/>
      <w:sz w:val="44"/>
    </w:rPr>
  </w:style>
  <w:style w:type="paragraph" w:styleId="6">
    <w:name w:val="heading 2"/>
    <w:basedOn w:val="1"/>
    <w:next w:val="7"/>
    <w:unhideWhenUsed/>
    <w:qFormat/>
    <w:uiPriority w:val="0"/>
    <w:pPr>
      <w:keepNext/>
      <w:keepLines/>
      <w:numPr>
        <w:ilvl w:val="1"/>
        <w:numId w:val="1"/>
      </w:numPr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8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before="260" w:after="260" w:line="413" w:lineRule="auto"/>
      <w:outlineLvl w:val="2"/>
    </w:pPr>
    <w:rPr>
      <w:b/>
      <w:sz w:val="32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3"/>
    <w:autoRedefine/>
    <w:qFormat/>
    <w:uiPriority w:val="0"/>
    <w:pPr>
      <w:spacing w:before="360" w:beforeLines="0" w:after="360" w:afterLines="0"/>
      <w:jc w:val="center"/>
      <w:outlineLvl w:val="0"/>
    </w:pPr>
    <w:rPr>
      <w:rFonts w:ascii="Cambria" w:hAnsi="Cambria"/>
      <w:b/>
      <w:bCs/>
      <w:sz w:val="36"/>
      <w:szCs w:val="32"/>
    </w:rPr>
  </w:style>
  <w:style w:type="paragraph" w:styleId="3">
    <w:name w:val="Body Text Indent"/>
    <w:basedOn w:val="1"/>
    <w:next w:val="4"/>
    <w:semiHidden/>
    <w:unhideWhenUsed/>
    <w:qFormat/>
    <w:uiPriority w:val="99"/>
    <w:pPr>
      <w:ind w:firstLine="560" w:firstLineChars="200"/>
    </w:pPr>
    <w:rPr>
      <w:rFonts w:ascii="Calibri" w:hAnsi="Calibri" w:eastAsia="宋体" w:cs="Calibri"/>
      <w:sz w:val="28"/>
      <w:lang w:val="en-US" w:eastAsia="zh-CN" w:bidi="ar-SA"/>
    </w:rPr>
  </w:style>
  <w:style w:type="paragraph" w:styleId="4">
    <w:name w:val="toc 2"/>
    <w:basedOn w:val="1"/>
    <w:next w:val="1"/>
    <w:autoRedefine/>
    <w:qFormat/>
    <w:uiPriority w:val="39"/>
    <w:pPr>
      <w:ind w:left="210"/>
      <w:jc w:val="left"/>
    </w:pPr>
    <w:rPr>
      <w:smallCaps/>
      <w:sz w:val="20"/>
    </w:rPr>
  </w:style>
  <w:style w:type="paragraph" w:styleId="7">
    <w:name w:val="Normal Indent"/>
    <w:basedOn w:val="1"/>
    <w:autoRedefine/>
    <w:unhideWhenUsed/>
    <w:qFormat/>
    <w:uiPriority w:val="99"/>
    <w:pPr>
      <w:ind w:firstLine="556"/>
    </w:pPr>
    <w:rPr>
      <w:rFonts w:ascii="仿宋_GB2312" w:cs="仿宋_GB2312"/>
      <w:kern w:val="0"/>
    </w:rPr>
  </w:style>
  <w:style w:type="paragraph" w:styleId="9">
    <w:name w:val="Balloon Text"/>
    <w:basedOn w:val="1"/>
    <w:link w:val="20"/>
    <w:autoRedefine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1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2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HTML Preformatted"/>
    <w:basedOn w:val="1"/>
    <w:autoRedefine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14">
    <w:name w:val="Table Grid"/>
    <w:basedOn w:val="13"/>
    <w:autoRedefine/>
    <w:semiHidden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6">
    <w:name w:val="Hyperlink"/>
    <w:basedOn w:val="15"/>
    <w:autoRedefine/>
    <w:semiHidden/>
    <w:unhideWhenUsed/>
    <w:qFormat/>
    <w:uiPriority w:val="99"/>
    <w:rPr>
      <w:color w:val="0000FF"/>
      <w:u w:val="single"/>
    </w:rPr>
  </w:style>
  <w:style w:type="paragraph" w:customStyle="1" w:styleId="17">
    <w:name w:val="列出段落1"/>
    <w:basedOn w:val="1"/>
    <w:autoRedefine/>
    <w:qFormat/>
    <w:uiPriority w:val="34"/>
    <w:pPr>
      <w:ind w:firstLine="420" w:firstLineChars="200"/>
    </w:pPr>
  </w:style>
  <w:style w:type="paragraph" w:customStyle="1" w:styleId="18">
    <w:name w:val="列出段落2"/>
    <w:basedOn w:val="1"/>
    <w:autoRedefine/>
    <w:qFormat/>
    <w:uiPriority w:val="34"/>
    <w:pPr>
      <w:ind w:firstLine="420" w:firstLineChars="200"/>
    </w:pPr>
    <w:rPr>
      <w:rFonts w:ascii="Times New Roman" w:hAnsi="Times New Roman" w:cs="Times New Roman"/>
      <w:szCs w:val="20"/>
    </w:rPr>
  </w:style>
  <w:style w:type="character" w:customStyle="1" w:styleId="19">
    <w:name w:val="页脚 Char"/>
    <w:basedOn w:val="15"/>
    <w:link w:val="10"/>
    <w:autoRedefine/>
    <w:qFormat/>
    <w:uiPriority w:val="99"/>
    <w:rPr>
      <w:sz w:val="18"/>
      <w:szCs w:val="18"/>
    </w:rPr>
  </w:style>
  <w:style w:type="character" w:customStyle="1" w:styleId="20">
    <w:name w:val="批注框文本 Char"/>
    <w:basedOn w:val="15"/>
    <w:link w:val="9"/>
    <w:autoRedefine/>
    <w:qFormat/>
    <w:uiPriority w:val="99"/>
    <w:rPr>
      <w:sz w:val="18"/>
      <w:szCs w:val="18"/>
    </w:rPr>
  </w:style>
  <w:style w:type="character" w:customStyle="1" w:styleId="21">
    <w:name w:val="页眉 Char"/>
    <w:basedOn w:val="15"/>
    <w:link w:val="11"/>
    <w:autoRedefine/>
    <w:qFormat/>
    <w:uiPriority w:val="99"/>
    <w:rPr>
      <w:sz w:val="18"/>
      <w:szCs w:val="18"/>
    </w:rPr>
  </w:style>
  <w:style w:type="character" w:customStyle="1" w:styleId="22">
    <w:name w:val="font21"/>
    <w:basedOn w:val="15"/>
    <w:autoRedefine/>
    <w:qFormat/>
    <w:uiPriority w:val="0"/>
    <w:rPr>
      <w:rFonts w:hint="eastAsia" w:ascii="仿宋" w:hAnsi="仿宋" w:eastAsia="仿宋" w:cs="仿宋"/>
      <w:color w:val="000000"/>
      <w:sz w:val="20"/>
      <w:szCs w:val="20"/>
      <w:u w:val="none"/>
    </w:rPr>
  </w:style>
  <w:style w:type="character" w:customStyle="1" w:styleId="23">
    <w:name w:val="font11"/>
    <w:basedOn w:val="15"/>
    <w:autoRedefine/>
    <w:qFormat/>
    <w:uiPriority w:val="0"/>
    <w:rPr>
      <w:rFonts w:hint="eastAsia" w:ascii="仿宋" w:hAnsi="仿宋" w:eastAsia="仿宋" w:cs="仿宋"/>
      <w:b/>
      <w:color w:val="000000"/>
      <w:sz w:val="20"/>
      <w:szCs w:val="20"/>
      <w:u w:val="none"/>
    </w:rPr>
  </w:style>
  <w:style w:type="character" w:customStyle="1" w:styleId="24">
    <w:name w:val="font91"/>
    <w:basedOn w:val="15"/>
    <w:autoRedefine/>
    <w:qFormat/>
    <w:uiPriority w:val="0"/>
    <w:rPr>
      <w:rFonts w:hint="eastAsia" w:ascii="仿宋" w:hAnsi="仿宋" w:eastAsia="仿宋" w:cs="仿宋"/>
      <w:color w:val="000000"/>
      <w:sz w:val="20"/>
      <w:szCs w:val="20"/>
      <w:u w:val="none"/>
    </w:rPr>
  </w:style>
  <w:style w:type="character" w:customStyle="1" w:styleId="25">
    <w:name w:val="font81"/>
    <w:basedOn w:val="15"/>
    <w:autoRedefine/>
    <w:qFormat/>
    <w:uiPriority w:val="0"/>
    <w:rPr>
      <w:rFonts w:hint="eastAsia" w:ascii="仿宋" w:hAnsi="仿宋" w:eastAsia="仿宋" w:cs="仿宋"/>
      <w:b/>
      <w:color w:val="000000"/>
      <w:sz w:val="20"/>
      <w:szCs w:val="20"/>
      <w:u w:val="none"/>
    </w:rPr>
  </w:style>
  <w:style w:type="character" w:customStyle="1" w:styleId="26">
    <w:name w:val="font31"/>
    <w:basedOn w:val="15"/>
    <w:autoRedefine/>
    <w:qFormat/>
    <w:uiPriority w:val="0"/>
    <w:rPr>
      <w:rFonts w:hint="eastAsia" w:ascii="仿宋" w:hAnsi="仿宋" w:eastAsia="仿宋" w:cs="仿宋"/>
      <w:b/>
      <w:color w:val="000000"/>
      <w:sz w:val="20"/>
      <w:szCs w:val="20"/>
      <w:u w:val="none"/>
    </w:rPr>
  </w:style>
  <w:style w:type="character" w:customStyle="1" w:styleId="27">
    <w:name w:val="font71"/>
    <w:basedOn w:val="15"/>
    <w:autoRedefine/>
    <w:qFormat/>
    <w:uiPriority w:val="0"/>
    <w:rPr>
      <w:rFonts w:hint="eastAsia" w:ascii="宋体" w:hAnsi="宋体" w:eastAsia="宋体" w:cs="宋体"/>
      <w:b/>
      <w:bCs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2657</Words>
  <Characters>2825</Characters>
  <Lines>17</Lines>
  <Paragraphs>4</Paragraphs>
  <TotalTime>6</TotalTime>
  <ScaleCrop>false</ScaleCrop>
  <LinksUpToDate>false</LinksUpToDate>
  <CharactersWithSpaces>2825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2023-03-28T07:26:00Z</dcterms:created>
  <dc:creator>chenhp</dc:creator>
  <cp:lastModifiedBy>tiny</cp:lastModifiedBy>
  <cp:lastPrinted>2024-05-22T09:20:47Z</cp:lastPrinted>
  <dcterms:modified xsi:type="dcterms:W3CDTF">2024-05-22T09:22:07Z</dcterms:modified>
  <dc:title>甘工信函〔2018〕 号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82E26C45C1ED4C6EAB4BEDAC611E1C6A_13</vt:lpwstr>
  </property>
</Properties>
</file>