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000000" w:themeColor="text1"/>
          <w:sz w:val="44"/>
          <w:szCs w:val="44"/>
          <w14:textFill>
            <w14:solidFill>
              <w14:schemeClr w14:val="tx1"/>
            </w14:solidFill>
          </w14:textFill>
        </w:rPr>
      </w:pPr>
    </w:p>
    <w:p>
      <w:pPr>
        <w:spacing w:line="560" w:lineRule="exact"/>
        <w:ind w:left="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乌海市公共资源交易中心</w:t>
      </w:r>
    </w:p>
    <w:p>
      <w:pPr>
        <w:spacing w:line="560" w:lineRule="exact"/>
        <w:ind w:left="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国有土地使用权挂牌出让公告</w:t>
      </w:r>
    </w:p>
    <w:p>
      <w:pPr>
        <w:jc w:val="center"/>
        <w:rPr>
          <w:rFonts w:ascii="仿宋" w:hAnsi="仿宋" w:eastAsia="仿宋"/>
          <w:bCs/>
          <w:color w:val="auto"/>
          <w:sz w:val="32"/>
          <w:szCs w:val="32"/>
          <w:highlight w:val="none"/>
        </w:rPr>
      </w:pPr>
      <w:r>
        <w:rPr>
          <w:rFonts w:hint="eastAsia" w:ascii="仿宋" w:hAnsi="仿宋" w:eastAsia="仿宋" w:cs="仿宋"/>
          <w:bCs/>
          <w:color w:val="auto"/>
          <w:sz w:val="32"/>
          <w:szCs w:val="32"/>
          <w:highlight w:val="none"/>
        </w:rPr>
        <w:t>乌资交挂字〔</w:t>
      </w:r>
      <w:r>
        <w:rPr>
          <w:rFonts w:ascii="仿宋" w:hAnsi="仿宋" w:eastAsia="仿宋" w:cs="仿宋"/>
          <w:bCs/>
          <w:color w:val="auto"/>
          <w:sz w:val="32"/>
          <w:szCs w:val="32"/>
          <w:highlight w:val="none"/>
        </w:rPr>
        <w:t>202</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64</w:t>
      </w:r>
      <w:r>
        <w:rPr>
          <w:rFonts w:hint="eastAsia" w:ascii="仿宋" w:hAnsi="仿宋" w:eastAsia="仿宋" w:cs="仿宋"/>
          <w:bCs/>
          <w:color w:val="auto"/>
          <w:sz w:val="32"/>
          <w:szCs w:val="32"/>
          <w:highlight w:val="none"/>
        </w:rPr>
        <w:t>号</w:t>
      </w:r>
    </w:p>
    <w:p>
      <w:pPr>
        <w:spacing w:line="560" w:lineRule="exact"/>
        <w:ind w:left="0" w:firstLine="643" w:firstLineChars="200"/>
        <w:jc w:val="center"/>
        <w:rPr>
          <w:rFonts w:asciiTheme="minorEastAsia" w:hAnsiTheme="minorEastAsia" w:eastAsiaTheme="minorEastAsia"/>
          <w:b/>
          <w:bCs/>
          <w:color w:val="auto"/>
          <w:sz w:val="32"/>
          <w:szCs w:val="32"/>
        </w:rPr>
      </w:pP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经乌海市</w:t>
      </w:r>
      <w:r>
        <w:rPr>
          <w:rFonts w:hint="eastAsia" w:ascii="仿宋" w:hAnsi="仿宋" w:eastAsia="仿宋" w:cs="FangSong_GB2312"/>
          <w:color w:val="auto"/>
          <w:sz w:val="32"/>
          <w:szCs w:val="32"/>
          <w:lang w:eastAsia="zh-CN"/>
        </w:rPr>
        <w:t>海勃湾区</w:t>
      </w:r>
      <w:r>
        <w:rPr>
          <w:rFonts w:hint="eastAsia" w:ascii="仿宋" w:hAnsi="仿宋" w:eastAsia="仿宋" w:cs="FangSong_GB2312"/>
          <w:color w:val="auto"/>
          <w:sz w:val="32"/>
          <w:szCs w:val="32"/>
        </w:rPr>
        <w:t>人民政府批准，乌海市自然资源局</w:t>
      </w:r>
      <w:r>
        <w:rPr>
          <w:rFonts w:hint="eastAsia" w:ascii="仿宋" w:hAnsi="仿宋" w:eastAsia="仿宋" w:cs="FangSong_GB2312"/>
          <w:color w:val="auto"/>
          <w:sz w:val="32"/>
          <w:szCs w:val="32"/>
          <w:lang w:eastAsia="zh-CN"/>
        </w:rPr>
        <w:t>海勃湾</w:t>
      </w:r>
      <w:r>
        <w:rPr>
          <w:rFonts w:hint="eastAsia" w:ascii="仿宋" w:hAnsi="仿宋" w:eastAsia="仿宋" w:cs="FangSong_GB2312"/>
          <w:color w:val="auto"/>
          <w:sz w:val="32"/>
          <w:szCs w:val="32"/>
        </w:rPr>
        <w:t>分局以挂牌方式出让</w:t>
      </w:r>
      <w:r>
        <w:rPr>
          <w:rFonts w:hint="eastAsia" w:ascii="仿宋" w:hAnsi="仿宋" w:eastAsia="仿宋" w:cs="FangSong_GB2312"/>
          <w:color w:val="auto"/>
          <w:sz w:val="32"/>
          <w:szCs w:val="32"/>
          <w:highlight w:val="none"/>
          <w:lang w:val="en-US" w:eastAsia="zh-CN"/>
        </w:rPr>
        <w:t>9</w:t>
      </w:r>
      <w:r>
        <w:rPr>
          <w:rFonts w:hint="eastAsia" w:ascii="仿宋" w:hAnsi="仿宋" w:eastAsia="仿宋" w:cs="FangSong_GB2312"/>
          <w:color w:val="auto"/>
          <w:sz w:val="32"/>
          <w:szCs w:val="32"/>
        </w:rPr>
        <w:t>宗地块的国有建设用地使用权，现将有关事项公告如下：</w:t>
      </w:r>
    </w:p>
    <w:p>
      <w:pPr>
        <w:numPr>
          <w:ilvl w:val="0"/>
          <w:numId w:val="1"/>
        </w:numPr>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宗地基本情况和规划要求：</w:t>
      </w:r>
    </w:p>
    <w:tbl>
      <w:tblPr>
        <w:tblStyle w:val="15"/>
        <w:tblW w:w="114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2"/>
        <w:gridCol w:w="742"/>
        <w:gridCol w:w="883"/>
        <w:gridCol w:w="1059"/>
        <w:gridCol w:w="655"/>
        <w:gridCol w:w="618"/>
        <w:gridCol w:w="756"/>
        <w:gridCol w:w="630"/>
        <w:gridCol w:w="807"/>
        <w:gridCol w:w="794"/>
        <w:gridCol w:w="630"/>
        <w:gridCol w:w="1052"/>
        <w:gridCol w:w="940"/>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262"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序号</w:t>
            </w:r>
          </w:p>
        </w:tc>
        <w:tc>
          <w:tcPr>
            <w:tcW w:w="742"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编号</w:t>
            </w:r>
          </w:p>
        </w:tc>
        <w:tc>
          <w:tcPr>
            <w:tcW w:w="883" w:type="dxa"/>
            <w:vMerge w:val="restart"/>
            <w:vAlign w:val="center"/>
          </w:tcPr>
          <w:p>
            <w:pPr>
              <w:spacing w:line="300" w:lineRule="exact"/>
              <w:ind w:left="0" w:firstLine="0"/>
              <w:jc w:val="center"/>
              <w:rPr>
                <w:rFonts w:hint="eastAsia" w:ascii="仿宋" w:hAnsi="仿宋" w:eastAsia="仿宋"/>
                <w:color w:val="auto"/>
                <w:sz w:val="18"/>
                <w:szCs w:val="18"/>
              </w:rPr>
            </w:pPr>
            <w:r>
              <w:rPr>
                <w:rFonts w:hint="eastAsia" w:ascii="仿宋" w:hAnsi="仿宋" w:eastAsia="仿宋"/>
                <w:color w:val="auto"/>
                <w:sz w:val="18"/>
                <w:szCs w:val="18"/>
              </w:rPr>
              <w:t>土地位置</w:t>
            </w:r>
          </w:p>
        </w:tc>
        <w:tc>
          <w:tcPr>
            <w:tcW w:w="1059" w:type="dxa"/>
            <w:vMerge w:val="restart"/>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土地面积</w:t>
            </w:r>
            <w:r>
              <w:rPr>
                <w:rFonts w:ascii="仿宋" w:hAnsi="仿宋" w:eastAsia="仿宋" w:cs="FangSong_GB2312falt"/>
                <w:b/>
                <w:bCs/>
                <w:color w:val="auto"/>
                <w:sz w:val="18"/>
                <w:szCs w:val="18"/>
              </w:rPr>
              <w:t>(m</w:t>
            </w:r>
            <w:r>
              <w:rPr>
                <w:rFonts w:ascii="仿宋" w:hAnsi="仿宋" w:eastAsia="仿宋" w:cs="FangSong_GB2312falt"/>
                <w:b/>
                <w:bCs/>
                <w:color w:val="auto"/>
                <w:sz w:val="18"/>
                <w:szCs w:val="18"/>
                <w:vertAlign w:val="superscript"/>
              </w:rPr>
              <w:t>2</w:t>
            </w:r>
            <w:r>
              <w:rPr>
                <w:rFonts w:hint="eastAsia" w:ascii="仿宋" w:hAnsi="仿宋" w:eastAsia="仿宋" w:cs="FangSong_GB2312falt"/>
                <w:b/>
                <w:bCs/>
                <w:color w:val="auto"/>
                <w:sz w:val="18"/>
                <w:szCs w:val="18"/>
              </w:rPr>
              <w:t>）</w:t>
            </w:r>
          </w:p>
        </w:tc>
        <w:tc>
          <w:tcPr>
            <w:tcW w:w="655" w:type="dxa"/>
            <w:vMerge w:val="restart"/>
            <w:vAlign w:val="center"/>
          </w:tcPr>
          <w:p>
            <w:pPr>
              <w:spacing w:line="280" w:lineRule="exact"/>
              <w:ind w:left="0" w:firstLine="0"/>
              <w:jc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lang w:val="en-US" w:eastAsia="zh-CN"/>
              </w:rPr>
              <w:t>土地</w:t>
            </w:r>
          </w:p>
          <w:p>
            <w:pPr>
              <w:spacing w:line="280" w:lineRule="exact"/>
              <w:ind w:left="0" w:firstLine="0"/>
              <w:jc w:val="center"/>
              <w:rPr>
                <w:rFonts w:hint="eastAsia" w:ascii="仿宋" w:hAnsi="仿宋" w:eastAsia="仿宋"/>
                <w:color w:val="auto"/>
                <w:sz w:val="18"/>
                <w:szCs w:val="18"/>
                <w:lang w:val="en-US" w:eastAsia="zh-CN"/>
              </w:rPr>
            </w:pPr>
            <w:r>
              <w:rPr>
                <w:rFonts w:hint="eastAsia" w:ascii="仿宋" w:hAnsi="仿宋" w:eastAsia="仿宋" w:cs="FangSong_GB2312falt"/>
                <w:b/>
                <w:bCs/>
                <w:color w:val="auto"/>
                <w:sz w:val="18"/>
                <w:szCs w:val="18"/>
                <w:lang w:val="en-US" w:eastAsia="zh-CN"/>
              </w:rPr>
              <w:t>用途</w:t>
            </w:r>
          </w:p>
        </w:tc>
        <w:tc>
          <w:tcPr>
            <w:tcW w:w="2811" w:type="dxa"/>
            <w:gridSpan w:val="4"/>
            <w:tcBorders>
              <w:right w:val="single" w:color="auto" w:sz="4" w:space="0"/>
            </w:tcBorders>
          </w:tcPr>
          <w:p>
            <w:pPr>
              <w:pStyle w:val="30"/>
              <w:spacing w:line="240" w:lineRule="exact"/>
              <w:jc w:val="center"/>
              <w:textAlignment w:val="center"/>
              <w:rPr>
                <w:rFonts w:hint="eastAsia" w:ascii="仿宋" w:hAnsi="仿宋" w:eastAsia="仿宋" w:cs="FangSong_GB2312falt"/>
                <w:b/>
                <w:bCs/>
                <w:color w:val="auto"/>
                <w:sz w:val="18"/>
                <w:szCs w:val="18"/>
              </w:rPr>
            </w:pPr>
            <w:r>
              <w:rPr>
                <w:rFonts w:hint="eastAsia" w:ascii="仿宋" w:hAnsi="仿宋" w:eastAsia="仿宋" w:cs="FangSong_GB2312falt"/>
                <w:b/>
                <w:bCs/>
                <w:color w:val="auto"/>
                <w:sz w:val="18"/>
                <w:szCs w:val="18"/>
              </w:rPr>
              <w:t>规划指标要求</w:t>
            </w:r>
          </w:p>
        </w:tc>
        <w:tc>
          <w:tcPr>
            <w:tcW w:w="794" w:type="dxa"/>
            <w:tcBorders>
              <w:left w:val="single" w:color="auto" w:sz="4" w:space="0"/>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auto"/>
                <w:sz w:val="18"/>
                <w:szCs w:val="18"/>
              </w:rPr>
            </w:pPr>
          </w:p>
        </w:tc>
        <w:tc>
          <w:tcPr>
            <w:tcW w:w="630" w:type="dxa"/>
            <w:vMerge w:val="restart"/>
            <w:tcBorders>
              <w:left w:val="single" w:color="auto" w:sz="4" w:space="0"/>
              <w:right w:val="single" w:color="auto" w:sz="4" w:space="0"/>
            </w:tcBorders>
            <w:vAlign w:val="center"/>
          </w:tcPr>
          <w:p>
            <w:pPr>
              <w:pStyle w:val="30"/>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出让</w:t>
            </w:r>
          </w:p>
          <w:p>
            <w:pPr>
              <w:pStyle w:val="30"/>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年限（年）</w:t>
            </w:r>
          </w:p>
        </w:tc>
        <w:tc>
          <w:tcPr>
            <w:tcW w:w="1052"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起挂价</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940"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保证金</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1646" w:type="dxa"/>
            <w:vMerge w:val="restart"/>
            <w:tcBorders>
              <w:left w:val="single" w:color="auto" w:sz="4" w:space="0"/>
              <w:right w:val="single" w:color="auto" w:sz="4" w:space="0"/>
            </w:tcBorders>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262" w:type="dxa"/>
            <w:vMerge w:val="continue"/>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742" w:type="dxa"/>
            <w:vMerge w:val="continue"/>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883" w:type="dxa"/>
            <w:vMerge w:val="continue"/>
            <w:vAlign w:val="center"/>
          </w:tcPr>
          <w:p>
            <w:pPr>
              <w:spacing w:line="300" w:lineRule="exact"/>
              <w:ind w:left="0" w:firstLine="0"/>
              <w:jc w:val="center"/>
              <w:rPr>
                <w:rFonts w:hint="eastAsia" w:ascii="仿宋" w:hAnsi="仿宋" w:eastAsia="仿宋"/>
                <w:color w:val="000000" w:themeColor="text1"/>
                <w:sz w:val="18"/>
                <w:szCs w:val="18"/>
                <w14:textFill>
                  <w14:solidFill>
                    <w14:schemeClr w14:val="tx1"/>
                  </w14:solidFill>
                </w14:textFill>
              </w:rPr>
            </w:pPr>
          </w:p>
        </w:tc>
        <w:tc>
          <w:tcPr>
            <w:tcW w:w="1059" w:type="dxa"/>
            <w:vMerge w:val="continue"/>
            <w:vAlign w:val="center"/>
          </w:tcPr>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p>
        </w:tc>
        <w:tc>
          <w:tcPr>
            <w:tcW w:w="655" w:type="dxa"/>
            <w:vMerge w:val="continue"/>
            <w:vAlign w:val="center"/>
          </w:tcPr>
          <w:p>
            <w:pPr>
              <w:spacing w:line="300" w:lineRule="exact"/>
              <w:ind w:left="0" w:firstLine="0"/>
              <w:jc w:val="center"/>
              <w:rPr>
                <w:rFonts w:hint="eastAsia" w:ascii="仿宋" w:hAnsi="仿宋" w:eastAsia="仿宋"/>
                <w:color w:val="000000" w:themeColor="text1"/>
                <w:sz w:val="18"/>
                <w:szCs w:val="18"/>
                <w:lang w:val="en-US" w:eastAsia="zh-CN"/>
                <w14:textFill>
                  <w14:solidFill>
                    <w14:schemeClr w14:val="tx1"/>
                  </w14:solidFill>
                </w14:textFill>
              </w:rPr>
            </w:pPr>
          </w:p>
        </w:tc>
        <w:tc>
          <w:tcPr>
            <w:tcW w:w="618" w:type="dxa"/>
            <w:vAlign w:val="center"/>
          </w:tcPr>
          <w:p>
            <w:pPr>
              <w:spacing w:line="240" w:lineRule="exact"/>
              <w:ind w:left="0" w:firstLine="0"/>
              <w:jc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容积率</w:t>
            </w:r>
          </w:p>
        </w:tc>
        <w:tc>
          <w:tcPr>
            <w:tcW w:w="756" w:type="dxa"/>
            <w:vAlign w:val="center"/>
          </w:tcPr>
          <w:p>
            <w:pPr>
              <w:pStyle w:val="30"/>
              <w:spacing w:line="240" w:lineRule="exact"/>
              <w:jc w:val="center"/>
              <w:textAlignment w:val="center"/>
              <w:rPr>
                <w:rFonts w:ascii="仿宋" w:hAnsi="仿宋" w:eastAsia="仿宋" w:cs="FangSong_GB2312falt"/>
                <w:b/>
                <w:bCs/>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建筑限高</w:t>
            </w:r>
          </w:p>
        </w:tc>
        <w:tc>
          <w:tcPr>
            <w:tcW w:w="630" w:type="dxa"/>
            <w:vAlign w:val="center"/>
          </w:tcPr>
          <w:p>
            <w:pPr>
              <w:pStyle w:val="30"/>
              <w:spacing w:line="240" w:lineRule="exact"/>
              <w:jc w:val="center"/>
              <w:textAlignment w:val="center"/>
              <w:rPr>
                <w:rFonts w:hint="eastAsia" w:ascii="仿宋" w:hAnsi="仿宋" w:eastAsia="仿宋" w:cs="FangSong_GB2312falt"/>
                <w:b/>
                <w:bCs/>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建筑</w:t>
            </w:r>
            <w:r>
              <w:rPr>
                <w:rFonts w:hint="eastAsia" w:ascii="仿宋" w:hAnsi="仿宋" w:eastAsia="仿宋" w:cs="FangSong_GB2312falt"/>
                <w:b/>
                <w:bCs/>
                <w:color w:val="000000" w:themeColor="text1"/>
                <w:sz w:val="18"/>
                <w:szCs w:val="18"/>
                <w:lang w:eastAsia="zh-CN"/>
                <w14:textFill>
                  <w14:solidFill>
                    <w14:schemeClr w14:val="tx1"/>
                  </w14:solidFill>
                </w14:textFill>
              </w:rPr>
              <w:t>系数</w:t>
            </w:r>
          </w:p>
        </w:tc>
        <w:tc>
          <w:tcPr>
            <w:tcW w:w="807" w:type="dxa"/>
            <w:tcBorders>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绿地率</w:t>
            </w:r>
          </w:p>
        </w:tc>
        <w:tc>
          <w:tcPr>
            <w:tcW w:w="794" w:type="dxa"/>
            <w:tcBorders>
              <w:left w:val="single" w:color="auto" w:sz="4" w:space="0"/>
              <w:right w:val="single" w:color="auto" w:sz="4" w:space="0"/>
            </w:tcBorders>
            <w:vAlign w:val="center"/>
          </w:tcPr>
          <w:p>
            <w:pPr>
              <w:pStyle w:val="30"/>
              <w:spacing w:line="240" w:lineRule="exact"/>
              <w:jc w:val="center"/>
              <w:rPr>
                <w:rFonts w:hint="eastAsia" w:ascii="仿宋" w:hAnsi="仿宋" w:eastAsia="仿宋"/>
                <w:b/>
                <w:bCs/>
                <w:color w:val="000000" w:themeColor="text1"/>
                <w:sz w:val="18"/>
                <w:szCs w:val="18"/>
                <w:lang w:eastAsia="zh-CN"/>
                <w14:textFill>
                  <w14:solidFill>
                    <w14:schemeClr w14:val="tx1"/>
                  </w14:solidFill>
                </w14:textFill>
              </w:rPr>
            </w:pPr>
            <w:r>
              <w:rPr>
                <w:rFonts w:hint="eastAsia" w:ascii="仿宋" w:hAnsi="仿宋" w:eastAsia="仿宋"/>
                <w:b/>
                <w:bCs/>
                <w:color w:val="000000" w:themeColor="text1"/>
                <w:sz w:val="18"/>
                <w:szCs w:val="18"/>
                <w:lang w:eastAsia="zh-CN"/>
                <w14:textFill>
                  <w14:solidFill>
                    <w14:schemeClr w14:val="tx1"/>
                  </w14:solidFill>
                </w14:textFill>
              </w:rPr>
              <w:t>投资强度</w:t>
            </w:r>
          </w:p>
        </w:tc>
        <w:tc>
          <w:tcPr>
            <w:tcW w:w="630" w:type="dxa"/>
            <w:vMerge w:val="continue"/>
            <w:tcBorders>
              <w:left w:val="single" w:color="auto" w:sz="4" w:space="0"/>
              <w:right w:val="single" w:color="auto" w:sz="4" w:space="0"/>
            </w:tcBorders>
            <w:vAlign w:val="center"/>
          </w:tcPr>
          <w:p>
            <w:pPr>
              <w:pStyle w:val="30"/>
              <w:spacing w:line="240" w:lineRule="exact"/>
              <w:jc w:val="center"/>
              <w:rPr>
                <w:rFonts w:ascii="仿宋" w:hAnsi="仿宋" w:eastAsia="仿宋"/>
                <w:b/>
                <w:bCs/>
                <w:color w:val="000000" w:themeColor="text1"/>
                <w:sz w:val="18"/>
                <w:szCs w:val="18"/>
                <w14:textFill>
                  <w14:solidFill>
                    <w14:schemeClr w14:val="tx1"/>
                  </w14:solidFill>
                </w14:textFill>
              </w:rPr>
            </w:pPr>
          </w:p>
        </w:tc>
        <w:tc>
          <w:tcPr>
            <w:tcW w:w="1052"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940"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1646" w:type="dxa"/>
            <w:vMerge w:val="continue"/>
            <w:tcBorders>
              <w:left w:val="single" w:color="auto" w:sz="4" w:space="0"/>
              <w:bottom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auto"/>
                <w:highlight w:val="none"/>
                <w:lang w:val="en-US" w:eastAsia="zh-CN"/>
              </w:rPr>
            </w:pPr>
            <w:r>
              <w:rPr>
                <w:rFonts w:hint="eastAsia" w:ascii="仿宋" w:hAnsi="仿宋" w:eastAsia="仿宋"/>
                <w:color w:val="auto"/>
                <w:highlight w:val="none"/>
                <w:lang w:val="en-US" w:eastAsia="zh-CN"/>
              </w:rPr>
              <w:t>1</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Cs w:val="21"/>
                <w:highlight w:val="none"/>
                <w:lang w:val="en-US"/>
              </w:rPr>
            </w:pPr>
            <w:bookmarkStart w:id="0" w:name="_GoBack"/>
            <w:r>
              <w:rPr>
                <w:rFonts w:hint="eastAsia" w:ascii="仿宋_GB2312" w:hAnsi="宋体" w:eastAsia="仿宋_GB2312" w:cs="宋体"/>
                <w:color w:val="auto"/>
                <w:kern w:val="0"/>
                <w:szCs w:val="21"/>
                <w:highlight w:val="none"/>
              </w:rPr>
              <w:t>202</w:t>
            </w:r>
            <w:r>
              <w:rPr>
                <w:rFonts w:hint="eastAsia" w:ascii="仿宋_GB2312" w:hAnsi="宋体" w:eastAsia="仿宋_GB2312" w:cs="宋体"/>
                <w:color w:val="auto"/>
                <w:kern w:val="0"/>
                <w:szCs w:val="21"/>
                <w:highlight w:val="none"/>
                <w:lang w:val="en-US" w:eastAsia="zh-CN"/>
              </w:rPr>
              <w:t>3</w:t>
            </w:r>
            <w:r>
              <w:rPr>
                <w:rFonts w:hint="eastAsia" w:ascii="仿宋_GB2312" w:hAnsi="宋体" w:eastAsia="仿宋_GB2312" w:cs="宋体"/>
                <w:color w:val="auto"/>
                <w:kern w:val="0"/>
                <w:szCs w:val="21"/>
                <w:highlight w:val="none"/>
              </w:rPr>
              <w:t>G</w:t>
            </w:r>
            <w:r>
              <w:rPr>
                <w:rFonts w:hint="eastAsia" w:ascii="仿宋_GB2312" w:hAnsi="宋体" w:eastAsia="仿宋_GB2312" w:cs="宋体"/>
                <w:color w:val="auto"/>
                <w:kern w:val="0"/>
                <w:szCs w:val="21"/>
                <w:highlight w:val="none"/>
                <w:lang w:val="en-US" w:eastAsia="zh-CN"/>
              </w:rPr>
              <w:t>A-64-01</w:t>
            </w:r>
            <w:bookmarkEnd w:id="0"/>
          </w:p>
        </w:tc>
        <w:tc>
          <w:tcPr>
            <w:tcW w:w="883"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海勃湾区千里山工业园区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2675.2平方米(约4.01亩)</w:t>
            </w:r>
          </w:p>
          <w:p>
            <w:pPr>
              <w:spacing w:line="300" w:lineRule="exact"/>
              <w:ind w:left="0" w:leftChars="0" w:firstLine="0" w:firstLineChars="0"/>
              <w:jc w:val="center"/>
              <w:rPr>
                <w:rFonts w:hint="eastAsia" w:ascii="仿宋_GB2312" w:hAnsi="宋体" w:eastAsia="仿宋_GB2312" w:cs="宋体"/>
                <w:color w:val="auto"/>
                <w:kern w:val="0"/>
                <w:szCs w:val="21"/>
                <w:highlight w:val="none"/>
                <w:lang w:val="en-US" w:eastAsia="zh-CN"/>
              </w:rPr>
            </w:pPr>
          </w:p>
        </w:tc>
        <w:tc>
          <w:tcPr>
            <w:tcW w:w="655"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工业用地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≥0.6</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≥30%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≤2</w:t>
            </w:r>
            <w:r>
              <w:rPr>
                <w:rFonts w:hint="eastAsia" w:ascii="仿宋_GB2312" w:hAnsi="宋体" w:eastAsia="仿宋_GB2312" w:cs="宋体"/>
                <w:color w:val="auto"/>
                <w:kern w:val="0"/>
                <w:sz w:val="21"/>
                <w:szCs w:val="21"/>
                <w:highlight w:val="none"/>
                <w:lang w:val="en-US" w:eastAsia="zh-CN" w:bidi="ar-SA"/>
              </w:rPr>
              <w:t>0</w:t>
            </w:r>
            <w:r>
              <w:rPr>
                <w:rFonts w:hint="default" w:ascii="仿宋_GB2312" w:hAnsi="宋体" w:eastAsia="仿宋_GB2312" w:cs="宋体"/>
                <w:color w:val="auto"/>
                <w:kern w:val="0"/>
                <w:sz w:val="21"/>
                <w:szCs w:val="21"/>
                <w:highlight w:val="none"/>
                <w:lang w:val="en-US" w:eastAsia="zh-CN" w:bidi="ar-SA"/>
              </w:rPr>
              <w:t>%</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w:t>
            </w:r>
          </w:p>
        </w:tc>
        <w:tc>
          <w:tcPr>
            <w:tcW w:w="630"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50年</w:t>
            </w:r>
          </w:p>
        </w:tc>
        <w:tc>
          <w:tcPr>
            <w:tcW w:w="1052"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25.682</w:t>
            </w:r>
          </w:p>
        </w:tc>
        <w:tc>
          <w:tcPr>
            <w:tcW w:w="94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25.682</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auto"/>
                <w:lang w:val="en-US" w:eastAsia="zh-CN"/>
              </w:rPr>
            </w:pPr>
            <w:r>
              <w:rPr>
                <w:rFonts w:hint="eastAsia" w:ascii="仿宋" w:hAnsi="仿宋" w:eastAsia="仿宋"/>
                <w:color w:val="auto"/>
                <w:lang w:val="en-US" w:eastAsia="zh-CN"/>
              </w:rPr>
              <w:t>2</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w:t>
            </w:r>
            <w:r>
              <w:rPr>
                <w:rFonts w:hint="eastAsia" w:ascii="仿宋_GB2312" w:hAnsi="宋体" w:eastAsia="仿宋_GB2312" w:cs="宋体"/>
                <w:color w:val="auto"/>
                <w:kern w:val="0"/>
                <w:szCs w:val="21"/>
                <w:highlight w:val="none"/>
                <w:lang w:val="en-US" w:eastAsia="zh-CN"/>
              </w:rPr>
              <w:t>64-02</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海勃湾区千里山工业园区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47294.51平方米（约70.94亩）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工业用地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≥0.5</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both"/>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≥30%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≤25%</w:t>
            </w:r>
          </w:p>
        </w:tc>
        <w:tc>
          <w:tcPr>
            <w:tcW w:w="794"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50年</w:t>
            </w:r>
          </w:p>
        </w:tc>
        <w:tc>
          <w:tcPr>
            <w:tcW w:w="1052"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454.0273</w:t>
            </w:r>
          </w:p>
        </w:tc>
        <w:tc>
          <w:tcPr>
            <w:tcW w:w="94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454.0273</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auto"/>
                <w:lang w:val="en-US" w:eastAsia="zh-CN"/>
              </w:rPr>
            </w:pPr>
            <w:r>
              <w:rPr>
                <w:rFonts w:hint="eastAsia" w:ascii="仿宋" w:hAnsi="仿宋" w:eastAsia="仿宋"/>
                <w:color w:val="auto"/>
                <w:lang w:val="en-US" w:eastAsia="zh-CN"/>
              </w:rPr>
              <w:t>3</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w:t>
            </w:r>
            <w:r>
              <w:rPr>
                <w:rFonts w:hint="eastAsia" w:ascii="仿宋_GB2312" w:hAnsi="宋体" w:eastAsia="仿宋_GB2312" w:cs="宋体"/>
                <w:color w:val="auto"/>
                <w:kern w:val="0"/>
                <w:szCs w:val="21"/>
                <w:highlight w:val="none"/>
                <w:lang w:val="en-US" w:eastAsia="zh-CN"/>
              </w:rPr>
              <w:t>64-03</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海勃湾区千里山工业园区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56915.84平方米（约85.37亩）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工业用地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≥0.7</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both"/>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≥30%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w:t>
            </w:r>
          </w:p>
        </w:tc>
        <w:tc>
          <w:tcPr>
            <w:tcW w:w="794"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highlight w:val="none"/>
                <w:lang w:val="en-US" w:eastAsia="zh-CN" w:bidi="ar-SA"/>
              </w:rPr>
              <w:t>≥287万元/亩</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50年</w:t>
            </w:r>
          </w:p>
        </w:tc>
        <w:tc>
          <w:tcPr>
            <w:tcW w:w="1052"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546.3921</w:t>
            </w:r>
          </w:p>
        </w:tc>
        <w:tc>
          <w:tcPr>
            <w:tcW w:w="94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546.3921</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auto"/>
                <w:lang w:val="en-US" w:eastAsia="zh-CN"/>
              </w:rPr>
            </w:pPr>
            <w:r>
              <w:rPr>
                <w:rFonts w:hint="eastAsia" w:ascii="仿宋" w:hAnsi="仿宋" w:eastAsia="仿宋"/>
                <w:color w:val="auto"/>
                <w:lang w:val="en-US" w:eastAsia="zh-CN"/>
              </w:rPr>
              <w:t>4</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w:t>
            </w:r>
            <w:r>
              <w:rPr>
                <w:rFonts w:hint="eastAsia" w:ascii="仿宋_GB2312" w:hAnsi="宋体" w:eastAsia="仿宋_GB2312" w:cs="宋体"/>
                <w:color w:val="auto"/>
                <w:kern w:val="0"/>
                <w:szCs w:val="21"/>
                <w:highlight w:val="none"/>
                <w:lang w:val="en-US" w:eastAsia="zh-CN"/>
              </w:rPr>
              <w:t>64-04</w:t>
            </w:r>
          </w:p>
        </w:tc>
        <w:tc>
          <w:tcPr>
            <w:tcW w:w="883"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乌海经济开发区海勃湾工业园综合加工区(海勃湾区)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652.58平方米（约0.98亩）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工业用地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≤1.5</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both"/>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≤45%</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w:t>
            </w:r>
          </w:p>
        </w:tc>
        <w:tc>
          <w:tcPr>
            <w:tcW w:w="794"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≥625万元/亩</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50年</w:t>
            </w:r>
          </w:p>
        </w:tc>
        <w:tc>
          <w:tcPr>
            <w:tcW w:w="1052"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19.2512</w:t>
            </w:r>
          </w:p>
        </w:tc>
        <w:tc>
          <w:tcPr>
            <w:tcW w:w="940"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19.2512</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auto"/>
                <w:lang w:val="en-US" w:eastAsia="zh-CN"/>
              </w:rPr>
            </w:pPr>
            <w:r>
              <w:rPr>
                <w:rFonts w:hint="eastAsia" w:ascii="仿宋" w:hAnsi="仿宋" w:eastAsia="仿宋"/>
                <w:color w:val="auto"/>
                <w:lang w:val="en-US" w:eastAsia="zh-CN"/>
              </w:rPr>
              <w:t>5</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w:t>
            </w:r>
            <w:r>
              <w:rPr>
                <w:rFonts w:hint="eastAsia" w:ascii="仿宋_GB2312" w:hAnsi="宋体" w:eastAsia="仿宋_GB2312" w:cs="宋体"/>
                <w:color w:val="auto"/>
                <w:kern w:val="0"/>
                <w:szCs w:val="21"/>
                <w:highlight w:val="none"/>
                <w:lang w:val="en-US" w:eastAsia="zh-CN"/>
              </w:rPr>
              <w:t>64-05</w:t>
            </w:r>
          </w:p>
        </w:tc>
        <w:tc>
          <w:tcPr>
            <w:tcW w:w="883"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乌海经济开发区海勃湾工业园综合加工区(海勃湾区)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2360.13平方米（约3.54亩）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工业用地</w:t>
            </w:r>
          </w:p>
        </w:tc>
        <w:tc>
          <w:tcPr>
            <w:tcW w:w="618"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≥0.8</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both"/>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≥40%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≤25%</w:t>
            </w:r>
          </w:p>
        </w:tc>
        <w:tc>
          <w:tcPr>
            <w:tcW w:w="794"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≥625万元/亩</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10年</w:t>
            </w:r>
          </w:p>
        </w:tc>
        <w:tc>
          <w:tcPr>
            <w:tcW w:w="1052"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28.5576</w:t>
            </w:r>
          </w:p>
        </w:tc>
        <w:tc>
          <w:tcPr>
            <w:tcW w:w="940"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28.5576</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auto"/>
                <w:lang w:val="en-US" w:eastAsia="zh-CN"/>
              </w:rPr>
            </w:pPr>
            <w:r>
              <w:rPr>
                <w:rFonts w:hint="eastAsia" w:ascii="仿宋" w:hAnsi="仿宋" w:eastAsia="仿宋"/>
                <w:color w:val="auto"/>
                <w:lang w:val="en-US" w:eastAsia="zh-CN"/>
              </w:rPr>
              <w:t>6</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w:t>
            </w:r>
            <w:r>
              <w:rPr>
                <w:rFonts w:hint="eastAsia" w:ascii="仿宋_GB2312" w:hAnsi="宋体" w:eastAsia="仿宋_GB2312" w:cs="宋体"/>
                <w:color w:val="auto"/>
                <w:kern w:val="0"/>
                <w:szCs w:val="21"/>
                <w:highlight w:val="none"/>
                <w:lang w:val="en-US" w:eastAsia="zh-CN"/>
              </w:rPr>
              <w:t>64-06</w:t>
            </w:r>
          </w:p>
        </w:tc>
        <w:tc>
          <w:tcPr>
            <w:tcW w:w="883"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乌海经济开发区海勃湾工业园综合加工区(海勃湾区)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4223.23平方米（约6.33亩）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工业用地</w:t>
            </w:r>
          </w:p>
        </w:tc>
        <w:tc>
          <w:tcPr>
            <w:tcW w:w="618"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≥0.8</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both"/>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≥40%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≤25%</w:t>
            </w:r>
          </w:p>
        </w:tc>
        <w:tc>
          <w:tcPr>
            <w:tcW w:w="794"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≥625万元/亩</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10年</w:t>
            </w:r>
          </w:p>
        </w:tc>
        <w:tc>
          <w:tcPr>
            <w:tcW w:w="1052"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51.1011</w:t>
            </w:r>
          </w:p>
        </w:tc>
        <w:tc>
          <w:tcPr>
            <w:tcW w:w="940"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51.1011</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auto"/>
                <w:lang w:val="en-US" w:eastAsia="zh-CN"/>
              </w:rPr>
            </w:pPr>
            <w:r>
              <w:rPr>
                <w:rFonts w:hint="eastAsia" w:ascii="仿宋" w:hAnsi="仿宋" w:eastAsia="仿宋"/>
                <w:color w:val="auto"/>
                <w:lang w:val="en-US" w:eastAsia="zh-CN"/>
              </w:rPr>
              <w:t>7</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w:t>
            </w:r>
            <w:r>
              <w:rPr>
                <w:rFonts w:hint="eastAsia" w:ascii="仿宋_GB2312" w:hAnsi="宋体" w:eastAsia="仿宋_GB2312" w:cs="宋体"/>
                <w:color w:val="auto"/>
                <w:kern w:val="0"/>
                <w:szCs w:val="21"/>
                <w:highlight w:val="none"/>
                <w:lang w:val="en-US" w:eastAsia="zh-CN"/>
              </w:rPr>
              <w:t>64-07</w:t>
            </w:r>
          </w:p>
        </w:tc>
        <w:tc>
          <w:tcPr>
            <w:tcW w:w="883"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乌海经济开发区海勃湾工业园综合加工区(海勃湾区)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3309.48平方米（约4.96亩）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工业用地</w:t>
            </w:r>
          </w:p>
        </w:tc>
        <w:tc>
          <w:tcPr>
            <w:tcW w:w="618"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≤1.5</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both"/>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≤45%</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w:t>
            </w:r>
          </w:p>
        </w:tc>
        <w:tc>
          <w:tcPr>
            <w:tcW w:w="794"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≥625万元/亩</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20年</w:t>
            </w:r>
          </w:p>
        </w:tc>
        <w:tc>
          <w:tcPr>
            <w:tcW w:w="1052"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64.8659</w:t>
            </w:r>
          </w:p>
        </w:tc>
        <w:tc>
          <w:tcPr>
            <w:tcW w:w="940"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64.8659</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auto"/>
                <w:lang w:val="en-US" w:eastAsia="zh-CN"/>
              </w:rPr>
            </w:pPr>
            <w:r>
              <w:rPr>
                <w:rFonts w:hint="eastAsia" w:ascii="仿宋" w:hAnsi="仿宋" w:eastAsia="仿宋"/>
                <w:color w:val="auto"/>
                <w:lang w:val="en-US" w:eastAsia="zh-CN"/>
              </w:rPr>
              <w:t>8</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w:t>
            </w:r>
            <w:r>
              <w:rPr>
                <w:rFonts w:hint="eastAsia" w:ascii="仿宋_GB2312" w:hAnsi="宋体" w:eastAsia="仿宋_GB2312" w:cs="宋体"/>
                <w:color w:val="auto"/>
                <w:kern w:val="0"/>
                <w:szCs w:val="21"/>
                <w:highlight w:val="none"/>
                <w:lang w:val="en-US" w:eastAsia="zh-CN"/>
              </w:rPr>
              <w:t>64-08</w:t>
            </w:r>
          </w:p>
        </w:tc>
        <w:tc>
          <w:tcPr>
            <w:tcW w:w="883"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乌海经济开发区海勃湾工业园综合加工区(海勃湾区)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3385.69平方米（约5.08亩）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工业用地</w:t>
            </w:r>
          </w:p>
        </w:tc>
        <w:tc>
          <w:tcPr>
            <w:tcW w:w="618"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≤1.5</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both"/>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≤45%</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w:t>
            </w:r>
          </w:p>
        </w:tc>
        <w:tc>
          <w:tcPr>
            <w:tcW w:w="794"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≥625万元/亩</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50年</w:t>
            </w:r>
          </w:p>
        </w:tc>
        <w:tc>
          <w:tcPr>
            <w:tcW w:w="1052"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103.6022</w:t>
            </w:r>
          </w:p>
        </w:tc>
        <w:tc>
          <w:tcPr>
            <w:tcW w:w="940"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103.6022</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auto"/>
                <w:lang w:val="en-US" w:eastAsia="zh-CN"/>
              </w:rPr>
            </w:pPr>
            <w:r>
              <w:rPr>
                <w:rFonts w:hint="eastAsia" w:ascii="仿宋" w:hAnsi="仿宋" w:eastAsia="仿宋"/>
                <w:color w:val="auto"/>
                <w:lang w:val="en-US" w:eastAsia="zh-CN"/>
              </w:rPr>
              <w:t>9</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w:t>
            </w:r>
            <w:r>
              <w:rPr>
                <w:rFonts w:hint="eastAsia" w:ascii="仿宋_GB2312" w:hAnsi="宋体" w:eastAsia="仿宋_GB2312" w:cs="宋体"/>
                <w:color w:val="auto"/>
                <w:kern w:val="0"/>
                <w:szCs w:val="21"/>
                <w:highlight w:val="none"/>
                <w:lang w:val="en-US" w:eastAsia="zh-CN"/>
              </w:rPr>
              <w:t>64-09</w:t>
            </w:r>
          </w:p>
        </w:tc>
        <w:tc>
          <w:tcPr>
            <w:tcW w:w="883"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乌海经济开发区海勃湾工业园综合加工区(海勃湾区)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2815.18平方米（约4.22亩）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工业用地</w:t>
            </w:r>
          </w:p>
        </w:tc>
        <w:tc>
          <w:tcPr>
            <w:tcW w:w="618"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≥1.0</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both"/>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≥40%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≤25%</w:t>
            </w:r>
          </w:p>
        </w:tc>
        <w:tc>
          <w:tcPr>
            <w:tcW w:w="794"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≥625万元/亩</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3年</w:t>
            </w:r>
          </w:p>
        </w:tc>
        <w:tc>
          <w:tcPr>
            <w:tcW w:w="1052"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13.2314</w:t>
            </w:r>
          </w:p>
        </w:tc>
        <w:tc>
          <w:tcPr>
            <w:tcW w:w="940"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13.2314</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地块的面积、规划方案等均以乌海市国土空间规划委员会最终批准方案为准。</w:t>
            </w:r>
          </w:p>
        </w:tc>
      </w:tr>
    </w:tbl>
    <w:p>
      <w:pPr>
        <w:tabs>
          <w:tab w:val="left" w:pos="7350"/>
        </w:tabs>
        <w:spacing w:line="560" w:lineRule="exact"/>
        <w:ind w:left="0" w:leftChars="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二、中华人民共和国境内外的法人、自然人和其他组织，除法律法规对申请人另有限制外，均可申请参加。本次挂牌不接受联合申请。</w:t>
      </w:r>
    </w:p>
    <w:p>
      <w:pPr>
        <w:tabs>
          <w:tab w:val="left" w:pos="7350"/>
        </w:tabs>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工业项目用地，竞得人在项目审批时，除满足《工业项目建设用地控制指标》的要求外，还必须遵守城市规划、环境保护等法律法规，并符合国家的产业政策。</w:t>
      </w:r>
    </w:p>
    <w:p>
      <w:pPr>
        <w:tabs>
          <w:tab w:val="left" w:pos="7350"/>
        </w:tabs>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房地产开发用地，申请竞买者须提交保证金不属于银行贷款、股东借款、转贷和募集资金的承诺书及商业金融机构的资信证明。</w:t>
      </w:r>
    </w:p>
    <w:p>
      <w:pPr>
        <w:tabs>
          <w:tab w:val="left" w:pos="7350"/>
        </w:tabs>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三、</w:t>
      </w:r>
      <w:r>
        <w:rPr>
          <w:rStyle w:val="17"/>
          <w:rFonts w:hint="eastAsia" w:ascii="仿宋" w:hAnsi="仿宋" w:eastAsia="仿宋"/>
          <w:b w:val="0"/>
          <w:color w:val="auto"/>
          <w:sz w:val="32"/>
          <w:szCs w:val="32"/>
          <w:shd w:val="clear" w:color="auto" w:fill="FFFFFF"/>
        </w:rPr>
        <w:t>竞价原则</w:t>
      </w:r>
    </w:p>
    <w:p>
      <w:pPr>
        <w:tabs>
          <w:tab w:val="left" w:pos="7350"/>
        </w:tabs>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bCs/>
          <w:color w:val="auto"/>
          <w:sz w:val="32"/>
          <w:szCs w:val="32"/>
        </w:rPr>
        <w:t>本次国有建设用地使用权挂牌出让按照价高者得原则确定竞得人。</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auto"/>
          <w:sz w:val="32"/>
          <w:szCs w:val="32"/>
        </w:rPr>
        <w:t>四、本次挂牌出让的公告时间为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11</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21</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12</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10</w:t>
      </w:r>
      <w:r>
        <w:rPr>
          <w:rFonts w:hint="eastAsia" w:ascii="仿宋" w:hAnsi="仿宋" w:eastAsia="仿宋" w:cs="FangSong_GB2312"/>
          <w:color w:val="auto"/>
          <w:sz w:val="32"/>
          <w:szCs w:val="32"/>
          <w:highlight w:val="none"/>
        </w:rPr>
        <w:t>日，详细资料和具体要求，以挂牌出让文件为准。申请人可于</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11</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21</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12</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19</w:t>
      </w:r>
      <w:r>
        <w:rPr>
          <w:rFonts w:hint="eastAsia" w:ascii="仿宋" w:hAnsi="仿宋" w:eastAsia="仿宋" w:cs="FangSong_GB2312"/>
          <w:color w:val="auto"/>
          <w:sz w:val="32"/>
          <w:szCs w:val="32"/>
          <w:highlight w:val="none"/>
        </w:rPr>
        <w:t>日</w:t>
      </w:r>
      <w:r>
        <w:rPr>
          <w:rFonts w:hint="eastAsia" w:ascii="仿宋" w:hAnsi="仿宋" w:eastAsia="仿宋" w:cs="FangSong_GB2312"/>
          <w:color w:val="auto"/>
          <w:sz w:val="32"/>
          <w:szCs w:val="32"/>
        </w:rPr>
        <w:t>到乌海市公共资源交易中心</w:t>
      </w:r>
      <w:r>
        <w:rPr>
          <w:rFonts w:hint="eastAsia" w:ascii="仿宋" w:hAnsi="仿宋" w:eastAsia="仿宋" w:cs="FangSong_GB2312"/>
          <w:color w:val="000000" w:themeColor="text1"/>
          <w:sz w:val="32"/>
          <w:szCs w:val="32"/>
          <w14:textFill>
            <w14:solidFill>
              <w14:schemeClr w14:val="tx1"/>
            </w14:solidFill>
          </w14:textFill>
        </w:rPr>
        <w:t>或登陆网站（</w:t>
      </w:r>
      <w:r>
        <w:rPr>
          <w:rFonts w:ascii="仿宋" w:hAnsi="仿宋" w:eastAsia="仿宋" w:cs="FangSong_GB2312"/>
          <w:color w:val="000000" w:themeColor="text1"/>
          <w:sz w:val="32"/>
          <w:szCs w:val="32"/>
          <w14:textFill>
            <w14:solidFill>
              <w14:schemeClr w14:val="tx1"/>
            </w14:solidFill>
          </w14:textFill>
        </w:rPr>
        <w:t>http:// zrzy.wuhai.gov.cn/</w:t>
      </w:r>
      <w:r>
        <w:rPr>
          <w:rFonts w:hint="eastAsia" w:ascii="仿宋" w:hAnsi="仿宋" w:eastAsia="仿宋" w:cs="FangSong_GB2312"/>
          <w:color w:val="000000" w:themeColor="text1"/>
          <w:sz w:val="32"/>
          <w:szCs w:val="32"/>
          <w14:textFill>
            <w14:solidFill>
              <w14:schemeClr w14:val="tx1"/>
            </w14:solidFill>
          </w14:textFill>
        </w:rPr>
        <w:t>或</w:t>
      </w:r>
      <w:r>
        <w:rPr>
          <w:rFonts w:ascii="仿宋" w:hAnsi="仿宋" w:eastAsia="仿宋" w:cs="FangSong_GB2312"/>
          <w:color w:val="000000" w:themeColor="text1"/>
          <w:sz w:val="32"/>
          <w:szCs w:val="32"/>
          <w14:textFill>
            <w14:solidFill>
              <w14:schemeClr w14:val="tx1"/>
            </w14:solidFill>
          </w14:textFill>
        </w:rPr>
        <w:t>http://www.whggzy.com</w:t>
      </w:r>
      <w:r>
        <w:rPr>
          <w:rFonts w:hint="eastAsia" w:ascii="仿宋" w:hAnsi="仿宋" w:eastAsia="仿宋" w:cs="FangSong_GB2312"/>
          <w:color w:val="000000" w:themeColor="text1"/>
          <w:sz w:val="32"/>
          <w:szCs w:val="32"/>
          <w14:textFill>
            <w14:solidFill>
              <w14:schemeClr w14:val="tx1"/>
            </w14:solidFill>
          </w14:textFill>
        </w:rPr>
        <w:t>）或内蒙古自治区网上交易系统（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）获取本次挂牌出让的出让须知和有关资料（不包括法定节假日）。</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五、本次挂牌地点为乌海市公共资源交易中心，</w:t>
      </w:r>
      <w:r>
        <w:rPr>
          <w:rFonts w:hint="eastAsia" w:ascii="仿宋" w:hAnsi="仿宋" w:eastAsia="仿宋" w:cs="FangSong_GB2312"/>
          <w:color w:val="auto"/>
          <w:sz w:val="32"/>
          <w:szCs w:val="32"/>
          <w:highlight w:val="none"/>
        </w:rPr>
        <w:t>挂牌时间为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12</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11</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9</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12</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22</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r>
        <w:rPr>
          <w:rFonts w:hint="eastAsia" w:ascii="仿宋" w:hAnsi="仿宋" w:eastAsia="仿宋" w:cs="FangSong_GB2312"/>
          <w:color w:val="auto"/>
          <w:sz w:val="32"/>
          <w:szCs w:val="32"/>
        </w:rPr>
        <w:t>（不包括法定节假日）。</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六、本次土地挂牌出让采用网上竞买申请的方式。竞买人在报名期内登录“内蒙古自治区国土资源网上交易系统”使用CA证书获取预申购资源的竞买申请书。</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CA证书的办理流程详见乌海市公共资源交易中心网站办事指南中CA办理指南。</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七、</w:t>
      </w:r>
      <w:r>
        <w:rPr>
          <w:rFonts w:hint="eastAsia" w:ascii="仿宋" w:hAnsi="仿宋" w:eastAsia="仿宋"/>
          <w:color w:val="auto"/>
          <w:sz w:val="32"/>
          <w:szCs w:val="32"/>
          <w:shd w:val="clear" w:color="auto" w:fill="FFFFFF"/>
        </w:rPr>
        <w:t>竞买保证金缴纳</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交纳竞买保证金的截止时间为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12</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19</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八、确定竞得人的标准和方法</w:t>
      </w:r>
    </w:p>
    <w:p>
      <w:pPr>
        <w:spacing w:line="560" w:lineRule="exact"/>
        <w:ind w:left="0" w:firstLine="640" w:firstLineChars="200"/>
        <w:textAlignment w:val="baseline"/>
        <w:rPr>
          <w:rFonts w:ascii="仿宋" w:hAnsi="仿宋" w:eastAsia="仿宋" w:cs="FangSong_GB2312"/>
          <w:bCs/>
          <w:color w:val="auto"/>
          <w:sz w:val="32"/>
          <w:szCs w:val="32"/>
        </w:rPr>
      </w:pPr>
      <w:r>
        <w:rPr>
          <w:rFonts w:hint="eastAsia" w:ascii="仿宋" w:hAnsi="仿宋" w:eastAsia="仿宋" w:cs="FangSong_GB2312"/>
          <w:color w:val="auto"/>
          <w:sz w:val="32"/>
          <w:szCs w:val="32"/>
        </w:rPr>
        <w:t>1、申请人按规定交纳竞买保证金，保证金到账后，内蒙古自治区国土资源网上交易系统自动确定该竞买人的竞买资格，签发相应宗地的《竞买资格确认书》</w:t>
      </w:r>
      <w:r>
        <w:rPr>
          <w:rFonts w:ascii="仿宋" w:hAnsi="仿宋" w:eastAsia="仿宋" w:cs="FangSong_GB2312"/>
          <w:bCs/>
          <w:color w:val="auto"/>
          <w:sz w:val="32"/>
          <w:szCs w:val="32"/>
        </w:rPr>
        <w:t>（以资金划入指定账户为准）</w:t>
      </w:r>
      <w:r>
        <w:rPr>
          <w:rFonts w:hint="eastAsia" w:ascii="仿宋" w:hAnsi="仿宋" w:eastAsia="仿宋" w:cs="FangSong_GB2312"/>
          <w:bCs/>
          <w:color w:val="auto"/>
          <w:sz w:val="32"/>
          <w:szCs w:val="32"/>
        </w:rPr>
        <w:t>。</w:t>
      </w:r>
    </w:p>
    <w:p>
      <w:p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2、取得《竞买资格确认书》的竞买人，在网上挂牌期限内，可通过CA证书登录系统后进行有效报价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r>
        <w:rPr>
          <w:rFonts w:hint="eastAsia" w:ascii="仿宋" w:hAnsi="仿宋" w:eastAsia="仿宋"/>
          <w:color w:val="000000" w:themeColor="text1"/>
          <w:sz w:val="32"/>
          <w:szCs w:val="32"/>
          <w:shd w:val="clear" w:color="auto" w:fill="FFFFFF"/>
          <w14:textFill>
            <w14:solidFill>
              <w14:schemeClr w14:val="tx1"/>
            </w14:solidFill>
          </w14:textFill>
        </w:rPr>
        <w:t>，</w:t>
      </w:r>
      <w:r>
        <w:rPr>
          <w:rFonts w:hint="eastAsia" w:ascii="仿宋" w:hAnsi="仿宋" w:eastAsia="仿宋" w:cs="FangSong_GB2312"/>
          <w:color w:val="000000" w:themeColor="text1"/>
          <w:sz w:val="32"/>
          <w:szCs w:val="32"/>
          <w14:textFill>
            <w14:solidFill>
              <w14:schemeClr w14:val="tx1"/>
            </w14:solidFill>
          </w14:textFill>
        </w:rPr>
        <w:t>网上挂牌期限截止时，如果</w:t>
      </w:r>
      <w:r>
        <w:rPr>
          <w:rFonts w:hint="eastAsia" w:ascii="仿宋" w:hAnsi="仿宋" w:eastAsia="仿宋"/>
          <w:color w:val="000000" w:themeColor="text1"/>
          <w:sz w:val="32"/>
          <w:szCs w:val="32"/>
          <w14:textFill>
            <w14:solidFill>
              <w14:schemeClr w14:val="tx1"/>
            </w14:solidFill>
          </w14:textFill>
        </w:rPr>
        <w:t>只有一个竞买人报价：设有底价的资源，交易系统判定报价是否低于底价,高于底价且符合其他条件的确定其为预竞得人;低于底价的,挂牌不成交。不设置底价的系统直接确定其为预竞得人。</w:t>
      </w:r>
    </w:p>
    <w:p>
      <w:pPr>
        <w:spacing w:line="560" w:lineRule="exact"/>
        <w:ind w:left="0" w:firstLine="640" w:firstLineChars="200"/>
        <w:textAlignment w:val="baseline"/>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spacing w:line="560" w:lineRule="exact"/>
        <w:ind w:left="0" w:firstLine="640" w:firstLineChars="200"/>
        <w:textAlignment w:val="baseline"/>
        <w:rPr>
          <w:rFonts w:ascii="仿宋" w:hAnsi="仿宋" w:eastAsia="仿宋" w:cs="FangSong_GB2312"/>
          <w:b/>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网上挂牌期限截止时，无人报价的，挂牌结束，资源不成交。</w:t>
      </w:r>
    </w:p>
    <w:p>
      <w:pPr>
        <w:autoSpaceDE w:val="0"/>
        <w:spacing w:line="56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九、查询网址：</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中国土地市场网</w:t>
      </w:r>
      <w:r>
        <w:rPr>
          <w:rFonts w:ascii="仿宋" w:hAnsi="仿宋" w:eastAsia="仿宋" w:cs="FangSong_GB2312"/>
          <w:color w:val="000000" w:themeColor="text1"/>
          <w:sz w:val="32"/>
          <w:szCs w:val="32"/>
          <w14:textFill>
            <w14:solidFill>
              <w14:schemeClr w14:val="tx1"/>
            </w14:solidFill>
          </w14:textFill>
        </w:rPr>
        <w:t xml:space="preserve"> (http://www.landchina.com)</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乌海市自然资源局（</w:t>
      </w:r>
      <w:r>
        <w:rPr>
          <w:rFonts w:ascii="仿宋" w:hAnsi="仿宋" w:eastAsia="仿宋" w:cs="FangSong_GB2312"/>
          <w:color w:val="000000" w:themeColor="text1"/>
          <w:sz w:val="32"/>
          <w:szCs w:val="32"/>
          <w14:textFill>
            <w14:solidFill>
              <w14:schemeClr w14:val="tx1"/>
            </w14:solidFill>
          </w14:textFill>
        </w:rPr>
        <w:t>http://zrzy.wuhai.gov.cn/)</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"http://www.whggzy.com"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http://www.whggzy.com</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内蒙古自治区公共资源交易网(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"http://ggzyjy.nmg.gov.cn/"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http://ggzyjy.nmg.gov.cn/</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479" w:leftChars="228" w:firstLine="160" w:firstLineChars="5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内蒙古自治区自然资源网上交易系统（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w:t>
      </w:r>
    </w:p>
    <w:p>
      <w:pPr>
        <w:spacing w:line="560" w:lineRule="exact"/>
        <w:ind w:left="0" w:firstLine="640" w:firstLineChars="200"/>
        <w:jc w:val="left"/>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十、乌海市公共资源交易中心联系人：</w:t>
      </w:r>
      <w:r>
        <w:rPr>
          <w:rFonts w:hint="eastAsia" w:ascii="仿宋" w:hAnsi="仿宋" w:eastAsia="仿宋"/>
          <w:color w:val="000000" w:themeColor="text1"/>
          <w:sz w:val="32"/>
          <w:szCs w:val="32"/>
          <w14:textFill>
            <w14:solidFill>
              <w14:schemeClr w14:val="tx1"/>
            </w14:solidFill>
          </w14:textFill>
        </w:rPr>
        <w:t xml:space="preserve">王工   张工 </w:t>
      </w:r>
    </w:p>
    <w:p>
      <w:pPr>
        <w:spacing w:line="560" w:lineRule="exact"/>
        <w:ind w:left="6380" w:leftChars="600" w:hanging="5120" w:hangingChars="1600"/>
        <w:jc w:val="left"/>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乌海市公共资源交易中心联系电话：0473-2999715  0473-2999760</w:t>
      </w:r>
    </w:p>
    <w:p>
      <w:pPr>
        <w:spacing w:line="560" w:lineRule="exact"/>
        <w:ind w:firstLine="1280" w:firstLineChars="400"/>
        <w:jc w:val="left"/>
        <w:textAlignment w:val="baseline"/>
        <w:rPr>
          <w:rFonts w:hint="eastAsia" w:ascii="仿宋" w:hAnsi="仿宋" w:eastAsia="仿宋"/>
          <w:color w:val="auto"/>
          <w:sz w:val="32"/>
          <w:szCs w:val="32"/>
          <w:lang w:eastAsia="zh-CN"/>
        </w:rPr>
      </w:pPr>
      <w:r>
        <w:rPr>
          <w:rFonts w:hint="eastAsia" w:ascii="仿宋" w:hAnsi="仿宋" w:eastAsia="仿宋"/>
          <w:color w:val="auto"/>
          <w:sz w:val="32"/>
          <w:szCs w:val="32"/>
        </w:rPr>
        <w:t>乌海市自然资源局</w:t>
      </w:r>
      <w:r>
        <w:rPr>
          <w:rFonts w:hint="eastAsia" w:ascii="仿宋" w:hAnsi="仿宋" w:eastAsia="仿宋"/>
          <w:color w:val="auto"/>
          <w:sz w:val="32"/>
          <w:szCs w:val="32"/>
          <w:lang w:eastAsia="zh-CN"/>
        </w:rPr>
        <w:t>海勃湾</w:t>
      </w:r>
      <w:r>
        <w:rPr>
          <w:rFonts w:hint="eastAsia" w:ascii="仿宋" w:hAnsi="仿宋" w:eastAsia="仿宋"/>
          <w:color w:val="auto"/>
          <w:sz w:val="32"/>
          <w:szCs w:val="32"/>
        </w:rPr>
        <w:t>分局联系人:</w:t>
      </w:r>
      <w:r>
        <w:rPr>
          <w:rFonts w:hint="eastAsia" w:ascii="仿宋" w:hAnsi="仿宋" w:eastAsia="仿宋"/>
          <w:color w:val="auto"/>
          <w:sz w:val="32"/>
          <w:szCs w:val="32"/>
          <w:lang w:eastAsia="zh-CN"/>
        </w:rPr>
        <w:t>张工</w:t>
      </w:r>
    </w:p>
    <w:p>
      <w:pPr>
        <w:spacing w:line="560" w:lineRule="exact"/>
        <w:ind w:firstLine="1280" w:firstLineChars="400"/>
        <w:jc w:val="left"/>
        <w:textAlignment w:val="baseline"/>
        <w:rPr>
          <w:rStyle w:val="17"/>
          <w:rFonts w:hint="default" w:ascii="仿宋" w:hAnsi="仿宋" w:eastAsia="仿宋"/>
          <w:b w:val="0"/>
          <w:color w:val="auto"/>
          <w:sz w:val="32"/>
          <w:szCs w:val="32"/>
          <w:lang w:val="en-US" w:eastAsia="zh-CN"/>
        </w:rPr>
      </w:pPr>
      <w:r>
        <w:rPr>
          <w:rFonts w:hint="eastAsia" w:ascii="仿宋" w:hAnsi="仿宋" w:eastAsia="仿宋"/>
          <w:color w:val="auto"/>
          <w:sz w:val="32"/>
          <w:szCs w:val="32"/>
        </w:rPr>
        <w:t>乌海市自然资源局</w:t>
      </w:r>
      <w:r>
        <w:rPr>
          <w:rFonts w:hint="eastAsia" w:ascii="仿宋" w:hAnsi="仿宋" w:eastAsia="仿宋"/>
          <w:color w:val="auto"/>
          <w:sz w:val="32"/>
          <w:szCs w:val="32"/>
          <w:lang w:eastAsia="zh-CN"/>
        </w:rPr>
        <w:t>海勃湾</w:t>
      </w:r>
      <w:r>
        <w:rPr>
          <w:rFonts w:hint="eastAsia" w:ascii="仿宋" w:hAnsi="仿宋" w:eastAsia="仿宋"/>
          <w:color w:val="auto"/>
          <w:sz w:val="32"/>
          <w:szCs w:val="32"/>
        </w:rPr>
        <w:t>分局联系电话:0473-</w:t>
      </w:r>
      <w:r>
        <w:rPr>
          <w:rFonts w:hint="eastAsia" w:ascii="仿宋" w:hAnsi="仿宋" w:eastAsia="仿宋"/>
          <w:color w:val="auto"/>
          <w:sz w:val="32"/>
          <w:szCs w:val="32"/>
          <w:lang w:val="en-US" w:eastAsia="zh-CN"/>
        </w:rPr>
        <w:t>6995512</w:t>
      </w:r>
    </w:p>
    <w:p>
      <w:pPr>
        <w:spacing w:line="560" w:lineRule="exact"/>
        <w:ind w:firstLine="1280" w:firstLineChars="400"/>
        <w:jc w:val="right"/>
        <w:textAlignment w:val="baseline"/>
        <w:rPr>
          <w:rFonts w:ascii="仿宋" w:hAnsi="仿宋" w:eastAsia="仿宋"/>
          <w:color w:val="auto"/>
          <w:sz w:val="32"/>
          <w:szCs w:val="32"/>
        </w:rPr>
      </w:pPr>
    </w:p>
    <w:p>
      <w:pPr>
        <w:spacing w:line="560" w:lineRule="exact"/>
        <w:ind w:firstLine="1280" w:firstLineChars="400"/>
        <w:jc w:val="right"/>
        <w:textAlignment w:val="baseline"/>
        <w:rPr>
          <w:rFonts w:ascii="仿宋" w:hAnsi="仿宋" w:eastAsia="仿宋"/>
          <w:color w:val="auto"/>
          <w:sz w:val="32"/>
          <w:szCs w:val="32"/>
          <w:highlight w:val="none"/>
        </w:rPr>
      </w:pPr>
      <w:r>
        <w:rPr>
          <w:rFonts w:hint="eastAsia" w:ascii="仿宋" w:hAnsi="仿宋" w:eastAsia="仿宋"/>
          <w:color w:val="auto"/>
          <w:sz w:val="32"/>
          <w:szCs w:val="32"/>
        </w:rPr>
        <w:t>乌海</w:t>
      </w:r>
      <w:r>
        <w:rPr>
          <w:rFonts w:hint="eastAsia" w:ascii="仿宋" w:hAnsi="仿宋" w:eastAsia="仿宋"/>
          <w:color w:val="auto"/>
          <w:sz w:val="32"/>
          <w:szCs w:val="32"/>
          <w:highlight w:val="none"/>
        </w:rPr>
        <w:t>市公共资源交易中心</w:t>
      </w:r>
    </w:p>
    <w:p>
      <w:pPr>
        <w:spacing w:line="560" w:lineRule="exact"/>
        <w:ind w:firstLine="1280" w:firstLineChars="400"/>
        <w:jc w:val="right"/>
        <w:textAlignment w:val="baseline"/>
        <w:rPr>
          <w:rFonts w:ascii="仿宋" w:hAnsi="仿宋" w:eastAsia="仿宋"/>
          <w:color w:val="auto"/>
          <w:sz w:val="32"/>
          <w:szCs w:val="32"/>
          <w:highlight w:val="yellow"/>
        </w:rPr>
      </w:pPr>
      <w:r>
        <w:rPr>
          <w:rFonts w:hint="eastAsia" w:ascii="仿宋" w:hAnsi="仿宋" w:eastAsia="仿宋"/>
          <w:color w:val="auto"/>
          <w:sz w:val="32"/>
          <w:szCs w:val="32"/>
          <w:highlight w:val="none"/>
        </w:rPr>
        <w:t xml:space="preserve">                               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 xml:space="preserve">日 </w:t>
      </w:r>
    </w:p>
    <w:p>
      <w:pPr>
        <w:spacing w:line="538" w:lineRule="exact"/>
        <w:ind w:left="0" w:firstLine="0"/>
        <w:jc w:val="center"/>
        <w:textAlignment w:val="baseline"/>
        <w:rPr>
          <w:rFonts w:ascii="微软雅黑" w:hAnsi="仿宋" w:eastAsia="微软雅黑" w:cs="微软雅黑"/>
          <w:color w:val="auto"/>
          <w:sz w:val="44"/>
          <w:szCs w:val="44"/>
        </w:rPr>
      </w:pPr>
    </w:p>
    <w:p>
      <w:pPr>
        <w:spacing w:line="538" w:lineRule="exact"/>
        <w:ind w:left="0" w:firstLine="0"/>
        <w:jc w:val="center"/>
        <w:textAlignment w:val="baseline"/>
        <w:rPr>
          <w:rFonts w:ascii="微软雅黑" w:hAnsi="仿宋" w:eastAsia="微软雅黑" w:cs="微软雅黑"/>
          <w:color w:val="auto"/>
          <w:sz w:val="44"/>
          <w:szCs w:val="44"/>
        </w:rPr>
      </w:pPr>
    </w:p>
    <w:p>
      <w:pPr>
        <w:spacing w:line="538" w:lineRule="exact"/>
        <w:ind w:left="0" w:firstLine="0"/>
        <w:jc w:val="center"/>
        <w:textAlignment w:val="baseline"/>
        <w:rPr>
          <w:rFonts w:ascii="微软雅黑" w:hAnsi="仿宋" w:eastAsia="微软雅黑" w:cs="微软雅黑"/>
          <w:color w:val="auto"/>
          <w:sz w:val="44"/>
          <w:szCs w:val="44"/>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14:textFill>
            <w14:solidFill>
              <w14:schemeClr w14:val="tx1"/>
            </w14:solidFill>
          </w14:textFill>
        </w:rPr>
        <w:t>乌海市国有建设用地使用权挂牌出让须知</w:t>
      </w:r>
    </w:p>
    <w:p>
      <w:pPr>
        <w:tabs>
          <w:tab w:val="left" w:pos="4400"/>
          <w:tab w:val="left" w:pos="4600"/>
        </w:tabs>
        <w:spacing w:line="540" w:lineRule="exact"/>
        <w:ind w:left="0" w:firstLine="640" w:firstLineChars="200"/>
        <w:rPr>
          <w:rFonts w:asciiTheme="minorEastAsia" w:hAnsiTheme="minorEastAsia" w:eastAsiaTheme="minorEastAsia"/>
          <w:color w:val="000000" w:themeColor="text1"/>
          <w:sz w:val="32"/>
          <w:szCs w:val="32"/>
          <w14:textFill>
            <w14:solidFill>
              <w14:schemeClr w14:val="tx1"/>
            </w14:solidFill>
          </w14:textFill>
        </w:rPr>
      </w:pPr>
    </w:p>
    <w:p>
      <w:pPr>
        <w:spacing w:line="540" w:lineRule="exact"/>
        <w:ind w:left="0" w:firstLine="640" w:firstLineChars="200"/>
        <w:rPr>
          <w:rFonts w:ascii="仿宋" w:hAnsi="仿宋" w:eastAsia="仿宋"/>
          <w:color w:val="auto"/>
          <w:sz w:val="32"/>
          <w:szCs w:val="32"/>
        </w:rPr>
      </w:pPr>
      <w:r>
        <w:rPr>
          <w:rFonts w:hint="eastAsia" w:ascii="仿宋" w:hAnsi="仿宋" w:eastAsia="仿宋"/>
          <w:color w:val="000000" w:themeColor="text1"/>
          <w:sz w:val="32"/>
          <w:szCs w:val="32"/>
          <w14:textFill>
            <w14:solidFill>
              <w14:schemeClr w14:val="tx1"/>
            </w14:solidFill>
          </w14:textFill>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w:t>
      </w:r>
      <w:r>
        <w:rPr>
          <w:rFonts w:hint="eastAsia" w:ascii="仿宋" w:hAnsi="仿宋" w:eastAsia="仿宋"/>
          <w:color w:val="auto"/>
          <w:sz w:val="32"/>
          <w:szCs w:val="32"/>
        </w:rPr>
        <w:t>，经乌海市</w:t>
      </w:r>
      <w:r>
        <w:rPr>
          <w:rFonts w:hint="eastAsia" w:ascii="仿宋" w:hAnsi="仿宋" w:eastAsia="仿宋"/>
          <w:color w:val="auto"/>
          <w:sz w:val="32"/>
          <w:szCs w:val="32"/>
          <w:lang w:eastAsia="zh-CN"/>
        </w:rPr>
        <w:t>海勃湾区</w:t>
      </w:r>
      <w:r>
        <w:rPr>
          <w:rFonts w:hint="eastAsia" w:ascii="仿宋" w:hAnsi="仿宋" w:eastAsia="仿宋"/>
          <w:color w:val="auto"/>
          <w:sz w:val="32"/>
          <w:szCs w:val="32"/>
        </w:rPr>
        <w:t>人民政府批准，乌海市自然资源局</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分局以挂牌方式出让</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宗地块的国有建设用地使用权。</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一、本次国有建设用地使用权挂牌出让的出让人为乌海市自然资源局</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分局，具体组织实施由乌海市公共资源交易中心负责。</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二、本次国有建设用地使用权挂牌出让遵循公开、公平、公正和诚实信用的原则。</w:t>
      </w:r>
    </w:p>
    <w:p>
      <w:pPr>
        <w:spacing w:line="54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三、出让地块的基本情况及规划指标要求等：</w:t>
      </w:r>
    </w:p>
    <w:p>
      <w:pPr>
        <w:numPr>
          <w:ilvl w:val="0"/>
          <w:numId w:val="0"/>
        </w:numPr>
        <w:spacing w:line="538" w:lineRule="exact"/>
        <w:ind w:left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kern w:val="0"/>
          <w:sz w:val="32"/>
          <w:szCs w:val="32"/>
          <w:lang w:val="en-US" w:eastAsia="zh-CN"/>
        </w:rPr>
        <w:t>海勃湾区千里山工业园区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（二）出让面积：2675.2平方米(约4.01亩)；</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（四）使用年期：50年；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 w:hAnsi="仿宋" w:eastAsia="仿宋" w:cs="仿宋"/>
          <w:sz w:val="32"/>
          <w:szCs w:val="32"/>
          <w:highlight w:val="none"/>
        </w:rPr>
        <w:t>≥0.6</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（十五）</w:t>
      </w:r>
      <w:r>
        <w:rPr>
          <w:rFonts w:hint="eastAsia" w:ascii="仿宋" w:hAnsi="仿宋" w:eastAsia="仿宋" w:cs="仿宋"/>
          <w:sz w:val="32"/>
          <w:szCs w:val="32"/>
          <w:highlight w:val="none"/>
        </w:rPr>
        <w:t>该地块用地范围属于</w:t>
      </w:r>
      <w:r>
        <w:rPr>
          <w:rFonts w:hint="eastAsia" w:ascii="仿宋" w:hAnsi="仿宋" w:eastAsia="仿宋" w:cs="仿宋"/>
          <w:sz w:val="32"/>
          <w:szCs w:val="32"/>
          <w:highlight w:val="none"/>
          <w:lang w:val="en-US" w:eastAsia="zh-CN"/>
        </w:rPr>
        <w:t>2006年第四批次的报批范围内（</w:t>
      </w:r>
      <w:r>
        <w:rPr>
          <w:rFonts w:hint="eastAsia" w:ascii="仿宋" w:hAnsi="仿宋" w:eastAsia="仿宋" w:cs="仿宋"/>
          <w:sz w:val="32"/>
          <w:szCs w:val="32"/>
          <w:highlight w:val="none"/>
        </w:rPr>
        <w:t>内政土发〔20</w:t>
      </w:r>
      <w:r>
        <w:rPr>
          <w:rFonts w:hint="eastAsia" w:ascii="仿宋" w:hAnsi="仿宋" w:eastAsia="仿宋" w:cs="仿宋"/>
          <w:sz w:val="32"/>
          <w:szCs w:val="32"/>
          <w:highlight w:val="none"/>
          <w:lang w:val="en-US" w:eastAsia="zh-CN"/>
        </w:rPr>
        <w:t>06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495</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现按现状挂牌现状交付，地上建筑物由竞得人自行协商解决。</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numPr>
          <w:ilvl w:val="0"/>
          <w:numId w:val="0"/>
        </w:numPr>
        <w:spacing w:line="538" w:lineRule="exact"/>
        <w:ind w:left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w:t>
      </w:r>
    </w:p>
    <w:p>
      <w:pPr>
        <w:numPr>
          <w:ilvl w:val="0"/>
          <w:numId w:val="0"/>
        </w:numPr>
        <w:spacing w:line="538" w:lineRule="exac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关要求，必须严格按照《内蒙古自治区建设用地规划条件书》（条字第：</w:t>
      </w:r>
      <w:r>
        <w:rPr>
          <w:rFonts w:hint="eastAsia" w:ascii="仿宋" w:hAnsi="仿宋" w:eastAsia="仿宋" w:cs="Times New Roman"/>
          <w:sz w:val="32"/>
          <w:szCs w:val="32"/>
          <w:highlight w:val="none"/>
        </w:rPr>
        <w:t>1503022023000</w:t>
      </w:r>
      <w:r>
        <w:rPr>
          <w:rFonts w:hint="eastAsia" w:ascii="仿宋" w:hAnsi="仿宋" w:eastAsia="仿宋" w:cs="Times New Roman"/>
          <w:sz w:val="32"/>
          <w:szCs w:val="32"/>
          <w:highlight w:val="none"/>
          <w:lang w:val="en-US" w:eastAsia="zh-CN"/>
        </w:rPr>
        <w:t>94</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二</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（一）地块位置：海勃湾区千里山工业园区；</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（二）出让面积：47294.51</w:t>
      </w:r>
      <w:r>
        <w:rPr>
          <w:rFonts w:hint="eastAsia" w:ascii="仿宋" w:hAnsi="仿宋" w:eastAsia="仿宋"/>
          <w:kern w:val="0"/>
          <w:sz w:val="32"/>
          <w:szCs w:val="32"/>
          <w:lang w:val="en-US" w:eastAsia="zh-CN"/>
        </w:rPr>
        <w:t>平方米（约70.94亩）</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（四）使用年期：50年；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0.5</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（十五）</w:t>
      </w:r>
      <w:r>
        <w:rPr>
          <w:rFonts w:hint="eastAsia" w:ascii="仿宋" w:hAnsi="仿宋" w:eastAsia="仿宋" w:cs="仿宋"/>
          <w:sz w:val="32"/>
          <w:szCs w:val="32"/>
          <w:highlight w:val="none"/>
        </w:rPr>
        <w:t>该地块用地范围属于</w:t>
      </w:r>
      <w:r>
        <w:rPr>
          <w:rFonts w:hint="eastAsia" w:ascii="仿宋" w:hAnsi="仿宋" w:eastAsia="仿宋" w:cs="仿宋"/>
          <w:sz w:val="32"/>
          <w:szCs w:val="32"/>
          <w:highlight w:val="none"/>
          <w:lang w:val="en-US" w:eastAsia="zh-CN"/>
        </w:rPr>
        <w:t>2022年第二十批次的报批范围内（</w:t>
      </w:r>
      <w:r>
        <w:rPr>
          <w:rFonts w:hint="eastAsia" w:ascii="仿宋" w:hAnsi="仿宋" w:eastAsia="仿宋" w:cs="仿宋"/>
          <w:sz w:val="32"/>
          <w:szCs w:val="32"/>
          <w:highlight w:val="none"/>
        </w:rPr>
        <w:t>内政土发〔20</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460</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val="en-US" w:eastAsia="zh-CN"/>
        </w:rPr>
        <w:t>）,2021年第八批次的报批范围内（</w:t>
      </w:r>
      <w:r>
        <w:rPr>
          <w:rFonts w:hint="eastAsia" w:ascii="仿宋" w:hAnsi="仿宋" w:eastAsia="仿宋" w:cs="仿宋"/>
          <w:sz w:val="32"/>
          <w:szCs w:val="32"/>
          <w:highlight w:val="none"/>
        </w:rPr>
        <w:t>内政土发〔20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199</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现按现状挂牌现状交付，地上建筑物由竞得人自行协商解决。</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w:t>
      </w:r>
      <w:r>
        <w:rPr>
          <w:rFonts w:hint="eastAsia" w:ascii="仿宋" w:hAnsi="仿宋" w:eastAsia="仿宋" w:cs="Times New Roman"/>
          <w:sz w:val="30"/>
          <w:szCs w:val="30"/>
          <w:highlight w:val="none"/>
        </w:rPr>
        <w:t>150302202</w:t>
      </w:r>
      <w:r>
        <w:rPr>
          <w:rFonts w:hint="eastAsia" w:ascii="仿宋" w:hAnsi="仿宋" w:eastAsia="仿宋" w:cs="Times New Roman"/>
          <w:sz w:val="30"/>
          <w:szCs w:val="30"/>
          <w:highlight w:val="none"/>
          <w:lang w:val="en-US" w:eastAsia="zh-CN"/>
        </w:rPr>
        <w:t>3</w:t>
      </w:r>
      <w:r>
        <w:rPr>
          <w:rFonts w:hint="eastAsia" w:ascii="仿宋" w:hAnsi="仿宋" w:eastAsia="仿宋" w:cs="Times New Roman"/>
          <w:sz w:val="30"/>
          <w:szCs w:val="30"/>
          <w:highlight w:val="none"/>
        </w:rPr>
        <w:t>000</w:t>
      </w:r>
      <w:r>
        <w:rPr>
          <w:rFonts w:hint="eastAsia" w:ascii="仿宋" w:hAnsi="仿宋" w:eastAsia="仿宋" w:cs="Times New Roman"/>
          <w:sz w:val="30"/>
          <w:szCs w:val="30"/>
          <w:highlight w:val="none"/>
          <w:lang w:val="en-US" w:eastAsia="zh-CN"/>
        </w:rPr>
        <w:t>66</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三</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kern w:val="0"/>
          <w:sz w:val="32"/>
          <w:szCs w:val="32"/>
          <w:lang w:val="en-US" w:eastAsia="zh-CN"/>
        </w:rPr>
        <w:t>海勃湾区千里山工业园区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（二）出让面积：56915.84</w:t>
      </w:r>
      <w:r>
        <w:rPr>
          <w:rFonts w:hint="eastAsia" w:ascii="仿宋" w:hAnsi="仿宋" w:eastAsia="仿宋"/>
          <w:kern w:val="0"/>
          <w:sz w:val="32"/>
          <w:szCs w:val="32"/>
          <w:lang w:val="en-US" w:eastAsia="zh-CN"/>
        </w:rPr>
        <w:t>平方米（约85.37亩）</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（四）使用年期：50年；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0.7</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baseline"/>
        <w:outlineLvl w:val="9"/>
        <w:rPr>
          <w:rFonts w:hint="eastAsia" w:ascii="仿宋_GB2312" w:hAnsi="仿宋_GB2312" w:eastAsia="仿宋_GB2312"/>
          <w:color w:val="auto"/>
          <w:sz w:val="32"/>
          <w:highlight w:val="none"/>
          <w:lang w:val="en-US" w:eastAsia="zh-CN"/>
        </w:rPr>
      </w:pPr>
      <w:r>
        <w:rPr>
          <w:rFonts w:hint="eastAsia" w:ascii="仿宋" w:hAnsi="仿宋" w:eastAsia="仿宋" w:cs="仿宋"/>
          <w:sz w:val="32"/>
          <w:szCs w:val="32"/>
          <w:highlight w:val="none"/>
          <w:lang w:val="en-US" w:eastAsia="zh-CN"/>
        </w:rPr>
        <w:t>（十一）</w:t>
      </w:r>
      <w:r>
        <w:rPr>
          <w:rFonts w:hint="eastAsia" w:ascii="仿宋" w:hAnsi="仿宋" w:eastAsia="仿宋" w:cs="仿宋"/>
          <w:color w:val="000000" w:themeColor="text1"/>
          <w:sz w:val="32"/>
          <w:szCs w:val="32"/>
          <w:highlight w:val="none"/>
          <w:lang w:val="en-US" w:eastAsia="zh-CN"/>
          <w14:textFill>
            <w14:solidFill>
              <w14:schemeClr w14:val="tx1"/>
            </w14:solidFill>
          </w14:textFill>
        </w:rPr>
        <w:t>亩均年产值（</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亩</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olor w:val="auto"/>
          <w:sz w:val="32"/>
          <w:highlight w:val="none"/>
          <w:lang w:val="en-US" w:eastAsia="zh-CN"/>
        </w:rPr>
        <w:t>：</w:t>
      </w:r>
      <w:r>
        <w:rPr>
          <w:rFonts w:hint="eastAsia" w:ascii="仿宋" w:hAnsi="仿宋" w:eastAsia="仿宋" w:cs="仿宋"/>
          <w:color w:val="auto"/>
          <w:sz w:val="32"/>
          <w:highlight w:val="none"/>
        </w:rPr>
        <w:t>≥</w:t>
      </w:r>
      <w:r>
        <w:rPr>
          <w:rFonts w:hint="eastAsia" w:ascii="仿宋" w:hAnsi="仿宋" w:eastAsia="仿宋" w:cs="仿宋"/>
          <w:color w:val="auto"/>
          <w:sz w:val="32"/>
          <w:highlight w:val="none"/>
          <w:lang w:val="en-US" w:eastAsia="zh-CN"/>
        </w:rPr>
        <w:t>437</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baseline"/>
        <w:outlineLvl w:val="9"/>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lang w:val="en-US" w:eastAsia="zh-CN"/>
          <w14:textFill>
            <w14:solidFill>
              <w14:schemeClr w14:val="tx1"/>
            </w14:solidFill>
          </w14:textFill>
        </w:rPr>
        <w:t>亩均年税收（</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亩</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olor w:val="auto"/>
          <w:sz w:val="32"/>
          <w:highlight w:val="none"/>
          <w:lang w:val="en-US" w:eastAsia="zh-CN"/>
        </w:rPr>
        <w:t>：</w:t>
      </w:r>
      <w:r>
        <w:rPr>
          <w:rFonts w:hint="eastAsia" w:ascii="仿宋" w:hAnsi="仿宋" w:eastAsia="仿宋" w:cs="仿宋"/>
          <w:color w:val="auto"/>
          <w:sz w:val="32"/>
          <w:highlight w:val="none"/>
        </w:rPr>
        <w:t>≥</w:t>
      </w:r>
      <w:r>
        <w:rPr>
          <w:rFonts w:hint="eastAsia" w:ascii="仿宋" w:hAnsi="仿宋" w:eastAsia="仿宋" w:cs="仿宋"/>
          <w:color w:val="auto"/>
          <w:sz w:val="32"/>
          <w:highlight w:val="none"/>
          <w:lang w:val="en-US" w:eastAsia="zh-CN"/>
        </w:rPr>
        <w:t>11.35</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（十三）</w:t>
      </w:r>
      <w:r>
        <w:rPr>
          <w:rFonts w:hint="eastAsia" w:ascii="仿宋" w:hAnsi="仿宋" w:eastAsia="仿宋" w:cs="仿宋"/>
          <w:color w:val="000000" w:themeColor="text1"/>
          <w:sz w:val="32"/>
          <w:szCs w:val="32"/>
          <w:highlight w:val="none"/>
          <w:lang w:val="en-US" w:eastAsia="zh-CN"/>
          <w14:textFill>
            <w14:solidFill>
              <w14:schemeClr w14:val="tx1"/>
            </w14:solidFill>
          </w14:textFill>
        </w:rPr>
        <w:t>固定资产投资强度</w:t>
      </w:r>
      <w:r>
        <w:rPr>
          <w:rFonts w:hint="eastAsia" w:ascii="仿宋" w:hAnsi="仿宋" w:eastAsia="仿宋" w:cs="仿宋"/>
          <w:sz w:val="32"/>
          <w:szCs w:val="32"/>
          <w:highlight w:val="none"/>
          <w:lang w:val="en-US" w:eastAsia="zh-CN"/>
        </w:rPr>
        <w:t>：</w:t>
      </w:r>
      <w:r>
        <w:rPr>
          <w:rFonts w:hint="eastAsia" w:ascii="仿宋" w:hAnsi="仿宋" w:eastAsia="仿宋" w:cs="仿宋"/>
          <w:color w:val="auto"/>
          <w:sz w:val="32"/>
          <w:highlight w:val="none"/>
        </w:rPr>
        <w:t>≥</w:t>
      </w:r>
      <w:r>
        <w:rPr>
          <w:rFonts w:hint="eastAsia" w:ascii="仿宋" w:hAnsi="仿宋" w:eastAsia="仿宋" w:cs="仿宋"/>
          <w:color w:val="auto"/>
          <w:sz w:val="32"/>
          <w:highlight w:val="none"/>
          <w:lang w:val="en-US" w:eastAsia="zh-CN"/>
        </w:rPr>
        <w:t>287</w:t>
      </w:r>
      <w:r>
        <w:rPr>
          <w:rFonts w:hint="eastAsia" w:ascii="仿宋" w:hAnsi="仿宋" w:eastAsia="仿宋" w:cs="仿宋"/>
          <w:sz w:val="32"/>
          <w:szCs w:val="32"/>
          <w:highlight w:val="none"/>
          <w:lang w:val="en-US" w:eastAsia="zh-CN"/>
        </w:rPr>
        <w:t>万元/亩；</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lang w:val="en-US" w:eastAsia="zh-CN"/>
          <w14:textFill>
            <w14:solidFill>
              <w14:schemeClr w14:val="tx1"/>
            </w14:solidFill>
          </w14:textFill>
        </w:rPr>
        <w:t>准入产业类别：300万吨/年焦化项目</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（十五）</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（十六）</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（十七）</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（十八）</w:t>
      </w:r>
      <w:r>
        <w:rPr>
          <w:rFonts w:hint="eastAsia" w:ascii="仿宋" w:hAnsi="仿宋" w:eastAsia="仿宋" w:cs="仿宋"/>
          <w:sz w:val="32"/>
          <w:szCs w:val="32"/>
          <w:highlight w:val="none"/>
        </w:rPr>
        <w:t>该地块用地范围属于</w:t>
      </w:r>
      <w:r>
        <w:rPr>
          <w:rFonts w:hint="eastAsia" w:ascii="仿宋" w:hAnsi="仿宋" w:eastAsia="仿宋" w:cs="仿宋"/>
          <w:sz w:val="32"/>
          <w:szCs w:val="32"/>
          <w:highlight w:val="none"/>
          <w:lang w:val="en-US" w:eastAsia="zh-CN"/>
        </w:rPr>
        <w:t>2022年度第十五批次的报批范围内（</w:t>
      </w:r>
      <w:r>
        <w:rPr>
          <w:rFonts w:hint="eastAsia" w:ascii="仿宋" w:hAnsi="仿宋" w:eastAsia="仿宋" w:cs="仿宋"/>
          <w:sz w:val="32"/>
          <w:szCs w:val="32"/>
          <w:highlight w:val="none"/>
        </w:rPr>
        <w:t>内政土发〔</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1208</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现按现状挂牌现状交付，地上建筑物由竞得人自行协商解决。</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（十九）</w:t>
      </w: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w:t>
      </w:r>
      <w:r>
        <w:rPr>
          <w:rFonts w:hint="eastAsia" w:ascii="仿宋" w:hAnsi="仿宋" w:eastAsia="仿宋" w:cs="Times New Roman"/>
          <w:sz w:val="30"/>
          <w:szCs w:val="30"/>
          <w:highlight w:val="none"/>
        </w:rPr>
        <w:t>150302202</w:t>
      </w:r>
      <w:r>
        <w:rPr>
          <w:rFonts w:hint="eastAsia" w:ascii="仿宋" w:hAnsi="仿宋" w:eastAsia="仿宋" w:cs="Times New Roman"/>
          <w:sz w:val="30"/>
          <w:szCs w:val="30"/>
          <w:highlight w:val="none"/>
          <w:lang w:val="en-US" w:eastAsia="zh-CN"/>
        </w:rPr>
        <w:t>3</w:t>
      </w:r>
      <w:r>
        <w:rPr>
          <w:rFonts w:hint="eastAsia" w:ascii="仿宋" w:hAnsi="仿宋" w:eastAsia="仿宋" w:cs="Times New Roman"/>
          <w:sz w:val="30"/>
          <w:szCs w:val="30"/>
          <w:highlight w:val="none"/>
        </w:rPr>
        <w:t>000</w:t>
      </w:r>
      <w:r>
        <w:rPr>
          <w:rFonts w:hint="eastAsia" w:ascii="仿宋" w:hAnsi="仿宋" w:eastAsia="仿宋" w:cs="Times New Roman"/>
          <w:sz w:val="30"/>
          <w:szCs w:val="30"/>
          <w:highlight w:val="none"/>
          <w:lang w:val="en-US" w:eastAsia="zh-CN"/>
        </w:rPr>
        <w:t>95</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四</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（一）地块位置：乌海经济开发区海勃湾工业园综合加工区；</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（二）出让面积：652.58</w:t>
      </w:r>
      <w:r>
        <w:rPr>
          <w:rFonts w:hint="eastAsia" w:ascii="仿宋" w:hAnsi="仿宋" w:eastAsia="仿宋"/>
          <w:kern w:val="0"/>
          <w:sz w:val="32"/>
          <w:szCs w:val="32"/>
          <w:lang w:val="en-US" w:eastAsia="zh-CN"/>
        </w:rPr>
        <w:t>平方米（约0.98亩）</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（四）使用年期：50年；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物流仓储用地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1.5</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45%</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（十一）投资强度：≥625万元/亩；</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（十五）</w:t>
      </w:r>
      <w:r>
        <w:rPr>
          <w:rFonts w:hint="eastAsia" w:ascii="仿宋" w:hAnsi="仿宋" w:eastAsia="仿宋" w:cs="仿宋"/>
          <w:sz w:val="32"/>
          <w:szCs w:val="32"/>
          <w:highlight w:val="none"/>
        </w:rPr>
        <w:t>该地块用地范围属于</w:t>
      </w:r>
      <w:r>
        <w:rPr>
          <w:rFonts w:hint="eastAsia" w:ascii="仿宋" w:hAnsi="仿宋" w:eastAsia="仿宋" w:cs="仿宋"/>
          <w:sz w:val="32"/>
          <w:szCs w:val="32"/>
          <w:highlight w:val="none"/>
          <w:lang w:val="en-US" w:eastAsia="zh-CN"/>
        </w:rPr>
        <w:t>2022年第二十三批次的报批范围内（</w:t>
      </w:r>
      <w:r>
        <w:rPr>
          <w:rFonts w:hint="eastAsia" w:ascii="仿宋" w:hAnsi="仿宋" w:eastAsia="仿宋" w:cs="仿宋"/>
          <w:sz w:val="32"/>
          <w:szCs w:val="32"/>
          <w:highlight w:val="none"/>
        </w:rPr>
        <w:t>内政土发〔20</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536</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现按现状挂牌现状交付，地上建筑物由竞得人自行协商解决。</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w:t>
      </w:r>
      <w:r>
        <w:rPr>
          <w:rFonts w:hint="eastAsia" w:ascii="仿宋" w:hAnsi="仿宋" w:eastAsia="仿宋" w:cs="Times New Roman"/>
          <w:sz w:val="30"/>
          <w:szCs w:val="30"/>
          <w:highlight w:val="none"/>
        </w:rPr>
        <w:t>150302202</w:t>
      </w:r>
      <w:r>
        <w:rPr>
          <w:rFonts w:hint="eastAsia" w:ascii="仿宋" w:hAnsi="仿宋" w:eastAsia="仿宋" w:cs="Times New Roman"/>
          <w:sz w:val="30"/>
          <w:szCs w:val="30"/>
          <w:highlight w:val="none"/>
          <w:lang w:val="en-US" w:eastAsia="zh-CN"/>
        </w:rPr>
        <w:t>3</w:t>
      </w:r>
      <w:r>
        <w:rPr>
          <w:rFonts w:hint="eastAsia" w:ascii="仿宋" w:hAnsi="仿宋" w:eastAsia="仿宋" w:cs="Times New Roman"/>
          <w:sz w:val="30"/>
          <w:szCs w:val="30"/>
          <w:highlight w:val="none"/>
        </w:rPr>
        <w:t>000</w:t>
      </w:r>
      <w:r>
        <w:rPr>
          <w:rFonts w:hint="eastAsia" w:ascii="仿宋" w:hAnsi="仿宋" w:eastAsia="仿宋" w:cs="Times New Roman"/>
          <w:sz w:val="30"/>
          <w:szCs w:val="30"/>
          <w:highlight w:val="none"/>
          <w:lang w:val="en-US" w:eastAsia="zh-CN"/>
        </w:rPr>
        <w:t>89</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五</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（一）地块位置：</w:t>
      </w:r>
      <w:r>
        <w:rPr>
          <w:rFonts w:hint="eastAsia" w:ascii="仿宋" w:hAnsi="仿宋" w:eastAsia="仿宋" w:cs="仿宋"/>
          <w:sz w:val="32"/>
          <w:szCs w:val="32"/>
          <w:highlight w:val="none"/>
          <w:lang w:val="en-US" w:eastAsia="zh-CN"/>
        </w:rPr>
        <w:t>乌海经济开发区海勃湾工业园综合加工区</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（二）出让面积：2360.13平方米（约</w:t>
      </w:r>
      <w:r>
        <w:rPr>
          <w:rFonts w:hint="eastAsia" w:ascii="仿宋" w:hAnsi="仿宋" w:eastAsia="仿宋" w:cs="仿宋"/>
          <w:sz w:val="32"/>
          <w:szCs w:val="32"/>
          <w:highlight w:val="none"/>
          <w:lang w:val="en-US" w:eastAsia="zh-CN"/>
        </w:rPr>
        <w:t>3.54</w:t>
      </w:r>
      <w:r>
        <w:rPr>
          <w:rFonts w:hint="eastAsia" w:ascii="仿宋" w:hAnsi="仿宋" w:eastAsia="仿宋" w:cs="仿宋"/>
          <w:sz w:val="32"/>
          <w:szCs w:val="32"/>
          <w:highlight w:val="none"/>
        </w:rPr>
        <w:t>亩）；</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（三）土地用途：工业用地；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（四）使用年期：</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0年；</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（五）建设时间：出让合同约定的动工开发期限内动工，二年内建设完成；</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（六）规划用地性质：工业用地；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（七）容积率：</w:t>
      </w:r>
      <w:r>
        <w:rPr>
          <w:rFonts w:hint="eastAsia" w:ascii="仿宋" w:hAnsi="仿宋" w:eastAsia="仿宋" w:cs="Times New Roman"/>
          <w:sz w:val="32"/>
          <w:szCs w:val="32"/>
          <w:highlight w:val="none"/>
          <w:lang w:eastAsia="zh-CN"/>
        </w:rPr>
        <w:t>≥</w:t>
      </w:r>
      <w:r>
        <w:rPr>
          <w:rFonts w:hint="eastAsia" w:ascii="仿宋" w:hAnsi="仿宋" w:eastAsia="仿宋"/>
          <w:sz w:val="32"/>
          <w:szCs w:val="32"/>
          <w:highlight w:val="none"/>
          <w:lang w:val="en-US" w:eastAsia="zh-CN"/>
        </w:rPr>
        <w:t>0.8</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（八）建筑限高：≤20米；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（九）绿地率：</w:t>
      </w:r>
      <w:r>
        <w:rPr>
          <w:rFonts w:hint="eastAsia" w:ascii="仿宋" w:hAnsi="仿宋" w:eastAsia="仿宋" w:cs="Times New Roman"/>
          <w:sz w:val="32"/>
          <w:szCs w:val="32"/>
          <w:highlight w:val="none"/>
          <w:lang w:eastAsia="zh-CN"/>
        </w:rPr>
        <w:t>≤2</w:t>
      </w:r>
      <w:r>
        <w:rPr>
          <w:rFonts w:hint="eastAsia" w:ascii="仿宋" w:hAnsi="仿宋" w:eastAsia="仿宋" w:cs="Times New Roman"/>
          <w:sz w:val="32"/>
          <w:szCs w:val="32"/>
          <w:highlight w:val="none"/>
          <w:lang w:val="en-US" w:eastAsia="zh-CN"/>
        </w:rPr>
        <w:t>5</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（十）建筑系数：</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lang w:val="en-US" w:eastAsia="zh-CN"/>
        </w:rPr>
        <w:t>40</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（十一）投资强度：≥625万元/公顷；</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（十二）建筑退线要求：满足规划设计条件要求；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（十三）出让地块的空间范围须符合城市规划管理的有关要求；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（十四）其他规划要求以规划条件书为准。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（十五）该地块用地范围属于</w:t>
      </w:r>
      <w:r>
        <w:rPr>
          <w:rFonts w:hint="eastAsia" w:ascii="仿宋" w:hAnsi="仿宋" w:eastAsia="仿宋" w:cs="仿宋_GB2312"/>
          <w:sz w:val="32"/>
          <w:szCs w:val="32"/>
          <w:highlight w:val="none"/>
          <w:lang w:val="en-US" w:eastAsia="zh-CN"/>
        </w:rPr>
        <w:t>海勃湾区2022年度第八批次建设用地批复</w:t>
      </w:r>
      <w:r>
        <w:rPr>
          <w:rFonts w:hint="eastAsia" w:ascii="仿宋" w:hAnsi="仿宋" w:eastAsia="仿宋" w:cs="仿宋"/>
          <w:sz w:val="32"/>
          <w:szCs w:val="32"/>
          <w:highlight w:val="none"/>
        </w:rPr>
        <w:t>（内政土发〔202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1001</w:t>
      </w:r>
      <w:r>
        <w:rPr>
          <w:rFonts w:hint="eastAsia" w:ascii="仿宋" w:hAnsi="仿宋" w:eastAsia="仿宋" w:cs="仿宋"/>
          <w:sz w:val="32"/>
          <w:szCs w:val="32"/>
          <w:highlight w:val="none"/>
        </w:rPr>
        <w:t>号），现按现状挂牌现状交付，地上建筑物由竞得人自行协商解决。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该出让地块范围内如有建筑物、树木、供电设施等，受让人可结合规划设计方案保留，对不需要保留的，由受让人自行与有关部门解决，并承担所需费用。如需要考古或地下有构筑物、其他设施等，由受让人自行与有关部门协商解决，并承担所需费用。</w:t>
      </w:r>
    </w:p>
    <w:p>
      <w:pPr>
        <w:numPr>
          <w:ilvl w:val="0"/>
          <w:numId w:val="2"/>
        </w:numPr>
        <w:spacing w:line="538"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其他要求：出让地块的空间范围须符合城市规划管理的有关要求，必须严格按照《内蒙古自治区建设用地规划条件书》（条字第：150302202300</w:t>
      </w:r>
      <w:r>
        <w:rPr>
          <w:rFonts w:hint="eastAsia" w:ascii="仿宋" w:hAnsi="仿宋" w:eastAsia="仿宋" w:cs="仿宋"/>
          <w:sz w:val="32"/>
          <w:szCs w:val="32"/>
          <w:highlight w:val="none"/>
          <w:lang w:val="en-US" w:eastAsia="zh-CN"/>
        </w:rPr>
        <w:t>93</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六</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（一）地块位置：</w:t>
      </w:r>
      <w:r>
        <w:rPr>
          <w:rFonts w:hint="eastAsia" w:ascii="仿宋" w:hAnsi="仿宋" w:eastAsia="仿宋" w:cs="仿宋"/>
          <w:sz w:val="32"/>
          <w:szCs w:val="32"/>
          <w:highlight w:val="none"/>
          <w:lang w:val="en-US" w:eastAsia="zh-CN"/>
        </w:rPr>
        <w:t>乌海经济开发区海勃湾工业园综合加工区</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（二）出让面积：</w:t>
      </w:r>
      <w:r>
        <w:rPr>
          <w:rFonts w:hint="eastAsia" w:ascii="仿宋" w:hAnsi="仿宋" w:eastAsia="仿宋"/>
          <w:sz w:val="32"/>
          <w:szCs w:val="32"/>
        </w:rPr>
        <w:t>4223.23</w:t>
      </w:r>
      <w:r>
        <w:rPr>
          <w:rFonts w:hint="eastAsia" w:ascii="仿宋" w:hAnsi="仿宋" w:eastAsia="仿宋" w:cs="仿宋"/>
          <w:sz w:val="32"/>
          <w:szCs w:val="32"/>
          <w:highlight w:val="none"/>
        </w:rPr>
        <w:t>平方米（约6.33亩）；</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（三）土地用途：工业用地；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（四）使用年期：</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0年；</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（五）建设时间：出让合同约定的动工开发期限内动工，二年内建设完成；</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（六）规划用地性质：工业用地；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（七）容积率：</w:t>
      </w:r>
      <w:r>
        <w:rPr>
          <w:rFonts w:hint="eastAsia" w:ascii="仿宋" w:hAnsi="仿宋" w:eastAsia="仿宋" w:cs="Times New Roman"/>
          <w:sz w:val="32"/>
          <w:szCs w:val="32"/>
          <w:highlight w:val="none"/>
          <w:lang w:eastAsia="zh-CN"/>
        </w:rPr>
        <w:t>≥</w:t>
      </w:r>
      <w:r>
        <w:rPr>
          <w:rFonts w:hint="eastAsia" w:ascii="仿宋" w:hAnsi="仿宋" w:eastAsia="仿宋"/>
          <w:sz w:val="32"/>
          <w:szCs w:val="32"/>
          <w:highlight w:val="none"/>
          <w:lang w:val="en-US" w:eastAsia="zh-CN"/>
        </w:rPr>
        <w:t>0.8</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（八）建筑限高：≤20米；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（九）绿地率：</w:t>
      </w:r>
      <w:r>
        <w:rPr>
          <w:rFonts w:hint="eastAsia" w:ascii="仿宋" w:hAnsi="仿宋" w:eastAsia="仿宋" w:cs="Times New Roman"/>
          <w:sz w:val="32"/>
          <w:szCs w:val="32"/>
          <w:highlight w:val="none"/>
          <w:lang w:eastAsia="zh-CN"/>
        </w:rPr>
        <w:t>≤2</w:t>
      </w:r>
      <w:r>
        <w:rPr>
          <w:rFonts w:hint="eastAsia" w:ascii="仿宋" w:hAnsi="仿宋" w:eastAsia="仿宋" w:cs="Times New Roman"/>
          <w:sz w:val="32"/>
          <w:szCs w:val="32"/>
          <w:highlight w:val="none"/>
          <w:lang w:val="en-US" w:eastAsia="zh-CN"/>
        </w:rPr>
        <w:t>5</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（十）建筑系数：</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lang w:val="en-US" w:eastAsia="zh-CN"/>
        </w:rPr>
        <w:t>40</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（十一）投资强度：≥625万元/公顷；</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（十二）建筑退线要求：满足规划设计条件要求；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（十三）出让地块的空间范围须符合城市规划管理的有关要求；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（十四）其他规划要求以规划条件书为准。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（十五）该地块用地范围属于</w:t>
      </w:r>
      <w:r>
        <w:rPr>
          <w:rFonts w:hint="eastAsia" w:ascii="仿宋" w:hAnsi="仿宋" w:eastAsia="仿宋" w:cs="仿宋_GB2312"/>
          <w:sz w:val="32"/>
          <w:szCs w:val="32"/>
          <w:highlight w:val="none"/>
          <w:lang w:val="en-US" w:eastAsia="zh-CN"/>
        </w:rPr>
        <w:t>海勃湾区2022年度第八批次建设用地批复</w:t>
      </w:r>
      <w:r>
        <w:rPr>
          <w:rFonts w:hint="eastAsia" w:ascii="仿宋" w:hAnsi="仿宋" w:eastAsia="仿宋" w:cs="仿宋"/>
          <w:sz w:val="32"/>
          <w:szCs w:val="32"/>
          <w:highlight w:val="none"/>
        </w:rPr>
        <w:t>（内政土发〔202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1001</w:t>
      </w:r>
      <w:r>
        <w:rPr>
          <w:rFonts w:hint="eastAsia" w:ascii="仿宋" w:hAnsi="仿宋" w:eastAsia="仿宋" w:cs="仿宋"/>
          <w:sz w:val="32"/>
          <w:szCs w:val="32"/>
          <w:highlight w:val="none"/>
        </w:rPr>
        <w:t>号），现按现状挂牌现状交付，地上建筑物由竞得人自行协商解决。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该出让地块范围内如有建筑物、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其他要求：出让地块的空间范围须符合城市规划管理的有关要求，必须严格按照《内蒙古自治区建设用地规划条件书》（条字第：150302202300</w:t>
      </w:r>
      <w:r>
        <w:rPr>
          <w:rFonts w:hint="eastAsia" w:ascii="仿宋" w:hAnsi="仿宋" w:eastAsia="仿宋" w:cs="仿宋"/>
          <w:sz w:val="32"/>
          <w:szCs w:val="32"/>
          <w:highlight w:val="none"/>
          <w:lang w:val="en-US" w:eastAsia="zh-CN"/>
        </w:rPr>
        <w:t>97</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七</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（一）地块位置：</w:t>
      </w:r>
      <w:r>
        <w:rPr>
          <w:rFonts w:hint="eastAsia" w:ascii="仿宋" w:hAnsi="仿宋" w:eastAsia="仿宋" w:cs="仿宋"/>
          <w:sz w:val="32"/>
          <w:szCs w:val="32"/>
          <w:highlight w:val="none"/>
          <w:lang w:val="en-US" w:eastAsia="zh-CN"/>
        </w:rPr>
        <w:t>乌海经济开发区海勃湾工业园综合加工区</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（二）出让面积：3309.48平方米（约</w:t>
      </w:r>
      <w:r>
        <w:rPr>
          <w:rFonts w:hint="eastAsia" w:ascii="仿宋" w:hAnsi="仿宋" w:eastAsia="仿宋" w:cs="仿宋"/>
          <w:sz w:val="32"/>
          <w:szCs w:val="32"/>
          <w:highlight w:val="none"/>
          <w:lang w:val="en-US" w:eastAsia="zh-CN"/>
        </w:rPr>
        <w:t>4.96</w:t>
      </w:r>
      <w:r>
        <w:rPr>
          <w:rFonts w:hint="eastAsia" w:ascii="仿宋" w:hAnsi="仿宋" w:eastAsia="仿宋" w:cs="仿宋"/>
          <w:sz w:val="32"/>
          <w:szCs w:val="32"/>
          <w:highlight w:val="none"/>
        </w:rPr>
        <w:t>亩）；</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（三）土地用途：工业用地；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（四）使用年期：</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0年；</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（五）建设时间：出让合同约定的动工开发期限内动工，二年内建设完成；</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（六）规划用地性质：工业用地；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（七）容积率：</w:t>
      </w:r>
      <w:r>
        <w:rPr>
          <w:rFonts w:hint="eastAsia" w:ascii="仿宋" w:hAnsi="仿宋" w:eastAsia="仿宋" w:cs="Times New Roman"/>
          <w:sz w:val="32"/>
          <w:szCs w:val="32"/>
          <w:highlight w:val="none"/>
          <w:lang w:eastAsia="zh-CN"/>
        </w:rPr>
        <w:t>≤</w:t>
      </w:r>
      <w:r>
        <w:rPr>
          <w:rFonts w:hint="eastAsia" w:ascii="仿宋" w:hAnsi="仿宋" w:eastAsia="仿宋"/>
          <w:sz w:val="32"/>
          <w:szCs w:val="32"/>
          <w:highlight w:val="none"/>
          <w:lang w:val="en-US" w:eastAsia="zh-CN"/>
        </w:rPr>
        <w:t>1.5</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（八）建筑限高：≤20米；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（九）绿地率：</w:t>
      </w:r>
      <w:r>
        <w:rPr>
          <w:rFonts w:hint="eastAsia" w:ascii="仿宋" w:hAnsi="仿宋" w:eastAsia="仿宋" w:cs="Times New Roman"/>
          <w:sz w:val="32"/>
          <w:szCs w:val="32"/>
          <w:highlight w:val="none"/>
          <w:lang w:eastAsia="zh-CN"/>
        </w:rPr>
        <w:t>≥2</w:t>
      </w:r>
      <w:r>
        <w:rPr>
          <w:rFonts w:hint="eastAsia" w:ascii="仿宋" w:hAnsi="仿宋" w:eastAsia="仿宋" w:cs="Times New Roman"/>
          <w:sz w:val="32"/>
          <w:szCs w:val="32"/>
          <w:highlight w:val="none"/>
          <w:lang w:val="en-US" w:eastAsia="zh-CN"/>
        </w:rPr>
        <w:t>0</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（十）建筑系数：</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lang w:val="en-US" w:eastAsia="zh-CN"/>
        </w:rPr>
        <w:t>45</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（十一）投资强度：≥625万元/公顷；</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（十二）建筑退线要求：满足规划设计条件要求；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（十三）出让地块的空间范围须符合城市规划管理的有关要求；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（十四）其他规划要求以规划条件书为准。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（十五）该地块用地范围属于</w:t>
      </w:r>
      <w:r>
        <w:rPr>
          <w:rFonts w:hint="eastAsia" w:ascii="仿宋" w:hAnsi="仿宋" w:eastAsia="仿宋" w:cs="仿宋_GB2312"/>
          <w:sz w:val="32"/>
          <w:szCs w:val="32"/>
          <w:highlight w:val="none"/>
          <w:lang w:val="en-US" w:eastAsia="zh-CN"/>
        </w:rPr>
        <w:t>海勃湾区2022年度第十批次建设用地批复</w:t>
      </w:r>
      <w:r>
        <w:rPr>
          <w:rFonts w:hint="eastAsia" w:ascii="仿宋" w:hAnsi="仿宋" w:eastAsia="仿宋" w:cs="仿宋"/>
          <w:sz w:val="32"/>
          <w:szCs w:val="32"/>
          <w:highlight w:val="none"/>
        </w:rPr>
        <w:t>（内政土发〔202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1002</w:t>
      </w:r>
      <w:r>
        <w:rPr>
          <w:rFonts w:hint="eastAsia" w:ascii="仿宋" w:hAnsi="仿宋" w:eastAsia="仿宋" w:cs="仿宋"/>
          <w:sz w:val="32"/>
          <w:szCs w:val="32"/>
          <w:highlight w:val="none"/>
        </w:rPr>
        <w:t>号），现按现状挂牌现状交付，地上建筑物由竞得人自行协商解决。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该出让地块范围内如有建筑物、树木、供电设施等，受让人可结合规划设计方案保留，对不需要保留的，由受让人自行与有关部门解决，并承担所需费用。如需要考古或地下有构筑物、其他设施等，由受让人自行与有关部门协商解决，并承担所需费用。</w:t>
      </w:r>
    </w:p>
    <w:p>
      <w:pPr>
        <w:numPr>
          <w:ilvl w:val="0"/>
          <w:numId w:val="3"/>
        </w:num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其他要求：出让地块的空间范围须符合城市规划管理的有关要求，必须严格按照《内蒙古自治区建设用地规划条件书》（条字第：150302202300</w:t>
      </w:r>
      <w:r>
        <w:rPr>
          <w:rFonts w:hint="eastAsia" w:ascii="仿宋" w:hAnsi="仿宋" w:eastAsia="仿宋" w:cs="仿宋"/>
          <w:sz w:val="32"/>
          <w:szCs w:val="32"/>
          <w:highlight w:val="none"/>
          <w:lang w:val="en-US" w:eastAsia="zh-CN"/>
        </w:rPr>
        <w:t>62</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八</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（一）地块位置：</w:t>
      </w:r>
      <w:r>
        <w:rPr>
          <w:rFonts w:hint="eastAsia" w:ascii="仿宋" w:hAnsi="仿宋" w:eastAsia="仿宋" w:cs="仿宋"/>
          <w:sz w:val="32"/>
          <w:szCs w:val="32"/>
          <w:highlight w:val="none"/>
          <w:lang w:val="en-US" w:eastAsia="zh-CN"/>
        </w:rPr>
        <w:t>乌海经济开发区海勃湾工业园综合加工区</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（二）出让面积：</w:t>
      </w:r>
      <w:r>
        <w:rPr>
          <w:rFonts w:hint="eastAsia" w:ascii="仿宋" w:hAnsi="仿宋" w:eastAsia="仿宋"/>
          <w:sz w:val="32"/>
          <w:szCs w:val="32"/>
        </w:rPr>
        <w:t>3385.69</w:t>
      </w:r>
      <w:r>
        <w:rPr>
          <w:rFonts w:hint="eastAsia" w:ascii="仿宋" w:hAnsi="仿宋" w:eastAsia="仿宋" w:cs="仿宋"/>
          <w:sz w:val="32"/>
          <w:szCs w:val="32"/>
          <w:highlight w:val="none"/>
        </w:rPr>
        <w:t>平方米（约</w:t>
      </w:r>
      <w:r>
        <w:rPr>
          <w:rFonts w:hint="eastAsia" w:ascii="仿宋" w:hAnsi="仿宋" w:eastAsia="仿宋" w:cs="仿宋"/>
          <w:sz w:val="32"/>
          <w:szCs w:val="32"/>
          <w:highlight w:val="none"/>
          <w:lang w:val="en-US" w:eastAsia="zh-CN"/>
        </w:rPr>
        <w:t>5.08</w:t>
      </w:r>
      <w:r>
        <w:rPr>
          <w:rFonts w:hint="eastAsia" w:ascii="仿宋" w:hAnsi="仿宋" w:eastAsia="仿宋" w:cs="仿宋"/>
          <w:sz w:val="32"/>
          <w:szCs w:val="32"/>
          <w:highlight w:val="none"/>
        </w:rPr>
        <w:t>亩）；</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（三）土地用途：工业用地；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（四）使用年期：</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0年；</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（五）建设时间：出让合同约定的动工开发期限内动工，二年内建设完成；</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（六）规划用地性质：工业用地；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（七）容积率：</w:t>
      </w:r>
      <w:r>
        <w:rPr>
          <w:rFonts w:hint="eastAsia" w:ascii="仿宋" w:hAnsi="仿宋" w:eastAsia="仿宋" w:cs="Times New Roman"/>
          <w:sz w:val="32"/>
          <w:szCs w:val="32"/>
          <w:highlight w:val="none"/>
          <w:lang w:eastAsia="zh-CN"/>
        </w:rPr>
        <w:t>≤</w:t>
      </w:r>
      <w:r>
        <w:rPr>
          <w:rFonts w:hint="eastAsia" w:ascii="仿宋" w:hAnsi="仿宋" w:eastAsia="仿宋"/>
          <w:sz w:val="32"/>
          <w:szCs w:val="32"/>
          <w:highlight w:val="none"/>
          <w:lang w:val="en-US" w:eastAsia="zh-CN"/>
        </w:rPr>
        <w:t>1.5</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（八）建筑限高：≤20米；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（九）绿地率：</w:t>
      </w:r>
      <w:r>
        <w:rPr>
          <w:rFonts w:hint="eastAsia" w:ascii="仿宋" w:hAnsi="仿宋" w:eastAsia="仿宋" w:cs="Times New Roman"/>
          <w:sz w:val="32"/>
          <w:szCs w:val="32"/>
          <w:highlight w:val="none"/>
          <w:lang w:eastAsia="zh-CN"/>
        </w:rPr>
        <w:t>≥2</w:t>
      </w:r>
      <w:r>
        <w:rPr>
          <w:rFonts w:hint="eastAsia" w:ascii="仿宋" w:hAnsi="仿宋" w:eastAsia="仿宋" w:cs="Times New Roman"/>
          <w:sz w:val="32"/>
          <w:szCs w:val="32"/>
          <w:highlight w:val="none"/>
          <w:lang w:val="en-US" w:eastAsia="zh-CN"/>
        </w:rPr>
        <w:t>0</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（十）建筑系数：</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lang w:val="en-US" w:eastAsia="zh-CN"/>
        </w:rPr>
        <w:t>45</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（十一）投资强度：≥625万元/公顷；</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（十二）建筑退线要求：满足规划设计条件要求；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（十三）出让地块的空间范围须符合城市规划管理的有关要求；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（十四）其他规划要求以规划条件书为准。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（十五）该地块用地范围属于</w:t>
      </w:r>
      <w:r>
        <w:rPr>
          <w:rFonts w:hint="eastAsia" w:ascii="仿宋" w:hAnsi="仿宋" w:eastAsia="仿宋" w:cs="仿宋_GB2312"/>
          <w:sz w:val="32"/>
          <w:szCs w:val="32"/>
          <w:highlight w:val="none"/>
          <w:lang w:val="en-US" w:eastAsia="zh-CN"/>
        </w:rPr>
        <w:t>海勃湾区2022年度第十批次建设用地批复</w:t>
      </w:r>
      <w:r>
        <w:rPr>
          <w:rFonts w:hint="eastAsia" w:ascii="仿宋" w:hAnsi="仿宋" w:eastAsia="仿宋" w:cs="仿宋"/>
          <w:sz w:val="32"/>
          <w:szCs w:val="32"/>
          <w:highlight w:val="none"/>
        </w:rPr>
        <w:t>（内政土发〔202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1002</w:t>
      </w:r>
      <w:r>
        <w:rPr>
          <w:rFonts w:hint="eastAsia" w:ascii="仿宋" w:hAnsi="仿宋" w:eastAsia="仿宋" w:cs="仿宋"/>
          <w:sz w:val="32"/>
          <w:szCs w:val="32"/>
          <w:highlight w:val="none"/>
        </w:rPr>
        <w:t>号），现按现状挂牌现状交付，地上建筑物由竞得人自行协商解决。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该出让地块范围内如有建筑物、树木、供电设施等，受让人可结合规划设计方案保留，对不需要保留的，由受让人自行与有关部门解决，并承担所需费用。如需要考古或地下有构筑物、其他设施等，由受让人自行与有关部门协商解决，并承担所需费用。</w:t>
      </w:r>
    </w:p>
    <w:p>
      <w:pPr>
        <w:numPr>
          <w:ilvl w:val="0"/>
          <w:numId w:val="3"/>
        </w:numPr>
        <w:spacing w:line="538"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其他要求：出让地块的空间范围须符合城市规划管理的有关要求，必须严格按照《内蒙古自治区建设用地规划条件书》（条字第：150302202300</w:t>
      </w:r>
      <w:r>
        <w:rPr>
          <w:rFonts w:hint="eastAsia" w:ascii="仿宋" w:hAnsi="仿宋" w:eastAsia="仿宋" w:cs="仿宋"/>
          <w:sz w:val="32"/>
          <w:szCs w:val="32"/>
          <w:highlight w:val="none"/>
          <w:lang w:val="en-US" w:eastAsia="zh-CN"/>
        </w:rPr>
        <w:t>60</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lang w:eastAsia="zh-CN"/>
          <w14:textFill>
            <w14:solidFill>
              <w14:schemeClr w14:val="tx1"/>
            </w14:solidFill>
          </w14:textFill>
        </w:rPr>
        <w:t>九</w:t>
      </w:r>
      <w:r>
        <w:rPr>
          <w:rFonts w:hint="eastAsia" w:ascii="仿宋" w:hAnsi="仿宋" w:eastAsia="仿宋"/>
          <w:b/>
          <w:color w:val="000000" w:themeColor="text1"/>
          <w:sz w:val="32"/>
          <w:szCs w:val="32"/>
          <w:highlight w:val="none"/>
          <w14:textFill>
            <w14:solidFill>
              <w14:schemeClr w14:val="tx1"/>
            </w14:solidFill>
          </w14:textFill>
        </w:rPr>
        <w:t>号地块</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（一）地块位置：</w:t>
      </w:r>
      <w:r>
        <w:rPr>
          <w:rFonts w:hint="eastAsia" w:ascii="仿宋" w:hAnsi="仿宋" w:eastAsia="仿宋" w:cs="仿宋"/>
          <w:sz w:val="32"/>
          <w:szCs w:val="32"/>
          <w:highlight w:val="none"/>
          <w:lang w:val="en-US" w:eastAsia="zh-CN"/>
        </w:rPr>
        <w:t>乌海经济开发区海勃湾工业园综合加工区</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（二）出让面积：2815.18平方米（约4.22亩）；</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（三）土地用途：工业用地；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（四）使用年期：</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（五）建设时间：出让合同约定的动工开发期限内动工，二年内建设完成；</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（六）规划用地性质：工业用地；</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（七）容积率：</w:t>
      </w:r>
      <w:r>
        <w:rPr>
          <w:rFonts w:hint="eastAsia" w:ascii="仿宋" w:hAnsi="仿宋" w:eastAsia="仿宋"/>
          <w:sz w:val="32"/>
          <w:szCs w:val="32"/>
          <w:highlight w:val="none"/>
        </w:rPr>
        <w:t>≥1.0</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（八）建筑限高：≤20米；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（九）绿地率：</w:t>
      </w:r>
      <w:r>
        <w:rPr>
          <w:rFonts w:hint="eastAsia" w:ascii="仿宋" w:hAnsi="仿宋" w:eastAsia="仿宋" w:cs="Times New Roman"/>
          <w:sz w:val="32"/>
          <w:szCs w:val="32"/>
          <w:highlight w:val="none"/>
          <w:lang w:eastAsia="zh-CN"/>
        </w:rPr>
        <w:t>≤2</w:t>
      </w:r>
      <w:r>
        <w:rPr>
          <w:rFonts w:hint="eastAsia" w:ascii="仿宋" w:hAnsi="仿宋" w:eastAsia="仿宋" w:cs="Times New Roman"/>
          <w:sz w:val="32"/>
          <w:szCs w:val="32"/>
          <w:highlight w:val="none"/>
          <w:lang w:val="en-US" w:eastAsia="zh-CN"/>
        </w:rPr>
        <w:t>5</w:t>
      </w:r>
      <w:r>
        <w:rPr>
          <w:rFonts w:hint="eastAsia" w:ascii="仿宋" w:hAnsi="仿宋" w:eastAsia="仿宋" w:cs="Times New Roman"/>
          <w:sz w:val="32"/>
          <w:szCs w:val="32"/>
          <w:highlight w:val="none"/>
          <w:lang w:eastAsia="zh-CN"/>
        </w:rPr>
        <w:t>%</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（十）建筑系数：</w:t>
      </w:r>
      <w:r>
        <w:rPr>
          <w:rFonts w:hint="eastAsia" w:ascii="仿宋" w:hAnsi="仿宋" w:eastAsia="仿宋" w:cs="Times New Roman"/>
          <w:sz w:val="32"/>
          <w:szCs w:val="32"/>
          <w:highlight w:val="none"/>
          <w:lang w:eastAsia="zh-CN"/>
        </w:rPr>
        <w:t>≥40%</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（十一）投资强度：≥625万元/公顷；</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（十二）建筑退线要求：满足规划设计条件要求；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（十三）出让地块的空间范围须符合城市规划管理的有关要求；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（十四）其他规划要求以规划条件书为准。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（十五）该地块用地范围属于</w:t>
      </w:r>
      <w:r>
        <w:rPr>
          <w:rFonts w:hint="eastAsia" w:ascii="仿宋" w:hAnsi="仿宋" w:eastAsia="仿宋" w:cs="仿宋_GB2312"/>
          <w:sz w:val="32"/>
          <w:szCs w:val="32"/>
          <w:highlight w:val="none"/>
          <w:lang w:val="en-US" w:eastAsia="zh-CN"/>
        </w:rPr>
        <w:t>海勃湾区2023年度第二十三批次建设用地批复</w:t>
      </w:r>
      <w:r>
        <w:rPr>
          <w:rFonts w:hint="eastAsia" w:ascii="仿宋" w:hAnsi="仿宋" w:eastAsia="仿宋" w:cs="仿宋"/>
          <w:sz w:val="32"/>
          <w:szCs w:val="32"/>
          <w:highlight w:val="none"/>
        </w:rPr>
        <w:t>（内政土发〔202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1606</w:t>
      </w:r>
      <w:r>
        <w:rPr>
          <w:rFonts w:hint="eastAsia" w:ascii="仿宋" w:hAnsi="仿宋" w:eastAsia="仿宋" w:cs="仿宋"/>
          <w:sz w:val="32"/>
          <w:szCs w:val="32"/>
          <w:highlight w:val="none"/>
        </w:rPr>
        <w:t>号），现按现状挂牌现状交付，地上建筑物由竞得人自行协商解决。</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该出让地块范围内如有建筑物、树木、供电设施等，受让人可结合规划设计方案保留，对不需要保留的，由受让人自行与有关部门解决，并承担所需费用。如需要考古或地下有构筑物、其他设施等，由受让人自行与有关部门协商解决，并承担所需费用。</w:t>
      </w:r>
    </w:p>
    <w:p>
      <w:pPr>
        <w:numPr>
          <w:ilvl w:val="0"/>
          <w:numId w:val="0"/>
        </w:numPr>
        <w:spacing w:line="538" w:lineRule="exact"/>
        <w:ind w:leftChars="200"/>
        <w:rPr>
          <w:rFonts w:hint="eastAsia" w:ascii="仿宋" w:hAnsi="仿宋" w:eastAsia="仿宋" w:cs="仿宋"/>
          <w:sz w:val="32"/>
          <w:szCs w:val="32"/>
          <w:highlight w:val="none"/>
        </w:rPr>
      </w:pP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其他要求：出让地块的空间范围须符合城市规划管理的有关要求，必须严格按照《内蒙古自治区建设用地规划条件书》（条字第：150302202300</w:t>
      </w:r>
      <w:r>
        <w:rPr>
          <w:rFonts w:hint="eastAsia" w:ascii="仿宋" w:hAnsi="仿宋" w:eastAsia="仿宋" w:cs="仿宋"/>
          <w:kern w:val="0"/>
          <w:sz w:val="32"/>
          <w:szCs w:val="32"/>
          <w:highlight w:val="none"/>
        </w:rPr>
        <w:t>1</w:t>
      </w:r>
      <w:r>
        <w:rPr>
          <w:rFonts w:hint="eastAsia" w:ascii="仿宋" w:hAnsi="仿宋" w:eastAsia="仿宋" w:cs="仿宋"/>
          <w:kern w:val="0"/>
          <w:sz w:val="32"/>
          <w:szCs w:val="32"/>
          <w:highlight w:val="none"/>
          <w:lang w:val="en-US" w:eastAsia="zh-CN"/>
        </w:rPr>
        <w:t>25</w:t>
      </w:r>
      <w:r>
        <w:rPr>
          <w:rFonts w:hint="eastAsia" w:ascii="仿宋" w:hAnsi="仿宋" w:eastAsia="仿宋" w:cs="仿宋"/>
          <w:sz w:val="32"/>
          <w:szCs w:val="32"/>
          <w:highlight w:val="none"/>
        </w:rPr>
        <w:t>号）的有关要求进行建设。</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四、竞买资格及要求</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spacing w:line="540" w:lineRule="exact"/>
        <w:ind w:left="0" w:firstLine="640" w:firstLineChars="200"/>
        <w:rPr>
          <w:rFonts w:ascii="仿宋" w:hAnsi="仿宋" w:eastAsia="仿宋"/>
          <w:color w:val="auto"/>
          <w:sz w:val="32"/>
          <w:szCs w:val="32"/>
          <w:highlight w:val="yellow"/>
        </w:rPr>
      </w:pPr>
      <w:r>
        <w:rPr>
          <w:rFonts w:hint="eastAsia" w:ascii="仿宋" w:hAnsi="仿宋" w:eastAsia="仿宋"/>
          <w:color w:val="auto"/>
          <w:sz w:val="32"/>
          <w:szCs w:val="32"/>
        </w:rPr>
        <w:t>交纳竞买保证金的截止时间为</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19</w:t>
      </w:r>
      <w:r>
        <w:rPr>
          <w:rFonts w:hint="eastAsia" w:ascii="仿宋" w:hAnsi="仿宋" w:eastAsia="仿宋"/>
          <w:color w:val="auto"/>
          <w:sz w:val="32"/>
          <w:szCs w:val="32"/>
          <w:highlight w:val="none"/>
        </w:rPr>
        <w:t>日16：00时。</w:t>
      </w:r>
    </w:p>
    <w:p>
      <w:pPr>
        <w:spacing w:line="540"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地块竞买保证金为：</w:t>
      </w:r>
    </w:p>
    <w:p>
      <w:pPr>
        <w:spacing w:line="540" w:lineRule="exact"/>
        <w:ind w:left="0" w:firstLine="640" w:firstLineChars="200"/>
        <w:rPr>
          <w:rFonts w:hint="eastAsia" w:eastAsia="仿宋_GB2312"/>
          <w:b w:val="0"/>
          <w:bCs w:val="0"/>
          <w:color w:val="auto"/>
          <w:sz w:val="32"/>
          <w:szCs w:val="32"/>
          <w:lang w:eastAsia="zh-CN"/>
        </w:rPr>
      </w:pPr>
      <w:r>
        <w:rPr>
          <w:rFonts w:hint="eastAsia" w:ascii="仿宋" w:hAnsi="仿宋" w:eastAsia="仿宋"/>
          <w:color w:val="auto"/>
          <w:sz w:val="32"/>
          <w:szCs w:val="32"/>
          <w:lang w:val="en-US" w:eastAsia="zh-CN"/>
        </w:rPr>
        <w:t>地块一：25.682</w:t>
      </w:r>
      <w:r>
        <w:rPr>
          <w:rFonts w:hint="eastAsia" w:ascii="仿宋" w:hAnsi="仿宋" w:eastAsia="仿宋" w:cs="Times New Roman"/>
          <w:color w:val="auto"/>
          <w:kern w:val="0"/>
          <w:sz w:val="32"/>
          <w:szCs w:val="32"/>
          <w:highlight w:val="none"/>
          <w:lang w:val="en-US" w:eastAsia="zh-CN"/>
        </w:rPr>
        <w:t>万元（</w:t>
      </w:r>
      <w:r>
        <w:rPr>
          <w:rFonts w:hint="eastAsia" w:ascii="仿宋" w:hAnsi="仿宋" w:eastAsia="仿宋" w:cs="Times New Roman"/>
          <w:color w:val="auto"/>
          <w:sz w:val="32"/>
          <w:szCs w:val="32"/>
          <w:lang w:val="en-US" w:eastAsia="zh-CN"/>
        </w:rPr>
        <w:t>贰拾伍万陆仟捌佰贰拾元整</w:t>
      </w:r>
      <w:r>
        <w:rPr>
          <w:rFonts w:hint="eastAsia" w:ascii="仿宋" w:hAnsi="仿宋" w:eastAsia="仿宋" w:cs="Times New Roman"/>
          <w:color w:val="auto"/>
          <w:kern w:val="0"/>
          <w:sz w:val="32"/>
          <w:szCs w:val="32"/>
          <w:highlight w:val="none"/>
          <w:lang w:val="en-US" w:eastAsia="zh-CN"/>
        </w:rPr>
        <w:t>）</w:t>
      </w:r>
      <w:r>
        <w:rPr>
          <w:rFonts w:hint="eastAsia" w:eastAsia="仿宋_GB2312"/>
          <w:b w:val="0"/>
          <w:bCs w:val="0"/>
          <w:color w:val="auto"/>
          <w:sz w:val="32"/>
          <w:szCs w:val="32"/>
          <w:lang w:eastAsia="zh-CN"/>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地块二：</w:t>
      </w:r>
      <w:r>
        <w:rPr>
          <w:rFonts w:hint="eastAsia" w:ascii="仿宋" w:hAnsi="仿宋" w:eastAsia="仿宋" w:cs="Times New Roman"/>
          <w:kern w:val="0"/>
          <w:sz w:val="32"/>
          <w:szCs w:val="32"/>
          <w:highlight w:val="none"/>
          <w:lang w:val="en-US" w:eastAsia="zh-CN"/>
        </w:rPr>
        <w:t>454.0273</w:t>
      </w:r>
      <w:r>
        <w:rPr>
          <w:rFonts w:hint="eastAsia" w:ascii="仿宋" w:hAnsi="仿宋" w:eastAsia="仿宋" w:cs="仿宋"/>
          <w:sz w:val="32"/>
          <w:szCs w:val="32"/>
          <w:highlight w:val="none"/>
          <w:lang w:val="en-US" w:eastAsia="zh-CN"/>
        </w:rPr>
        <w:t>万元（肆佰伍拾肆万零贰佰柒拾叁元整）</w:t>
      </w:r>
      <w:r>
        <w:rPr>
          <w:rFonts w:hint="eastAsia" w:eastAsia="仿宋_GB2312"/>
          <w:b w:val="0"/>
          <w:bCs w:val="0"/>
          <w:color w:val="000000" w:themeColor="text1"/>
          <w:sz w:val="32"/>
          <w:szCs w:val="32"/>
          <w:lang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地块三：546.3921</w:t>
      </w:r>
      <w:r>
        <w:rPr>
          <w:rFonts w:hint="eastAsia" w:ascii="仿宋" w:hAnsi="仿宋" w:eastAsia="仿宋" w:cs="仿宋"/>
          <w:sz w:val="32"/>
          <w:szCs w:val="32"/>
          <w:highlight w:val="none"/>
          <w:lang w:val="en-US" w:eastAsia="zh-CN"/>
        </w:rPr>
        <w:t>万元（</w:t>
      </w:r>
      <w:r>
        <w:rPr>
          <w:rFonts w:hint="eastAsia" w:ascii="仿宋" w:hAnsi="仿宋" w:eastAsia="仿宋" w:cs="仿宋"/>
          <w:color w:val="auto"/>
          <w:sz w:val="32"/>
          <w:lang w:eastAsia="zh-CN"/>
        </w:rPr>
        <w:t>伍佰肆拾陆万叁仟玖佰贰拾壹元整</w:t>
      </w:r>
      <w:r>
        <w:rPr>
          <w:rFonts w:hint="eastAsia" w:ascii="仿宋" w:hAnsi="仿宋" w:eastAsia="仿宋" w:cs="仿宋"/>
          <w:sz w:val="32"/>
          <w:szCs w:val="32"/>
          <w:highlight w:val="none"/>
          <w:lang w:val="en-US" w:eastAsia="zh-CN"/>
        </w:rPr>
        <w:t>）</w:t>
      </w:r>
      <w:r>
        <w:rPr>
          <w:rFonts w:hint="eastAsia" w:eastAsia="仿宋_GB2312"/>
          <w:b w:val="0"/>
          <w:bCs w:val="0"/>
          <w:color w:val="000000" w:themeColor="text1"/>
          <w:sz w:val="32"/>
          <w:szCs w:val="32"/>
          <w:lang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地块四：19.2512</w:t>
      </w:r>
      <w:r>
        <w:rPr>
          <w:rFonts w:hint="eastAsia" w:ascii="仿宋" w:hAnsi="仿宋" w:eastAsia="仿宋" w:cs="仿宋"/>
          <w:sz w:val="32"/>
          <w:szCs w:val="32"/>
          <w:highlight w:val="none"/>
          <w:lang w:val="en-US" w:eastAsia="zh-CN"/>
        </w:rPr>
        <w:t>万元（壹拾玖万贰仟伍佰壹拾贰元整）</w:t>
      </w:r>
      <w:r>
        <w:rPr>
          <w:rFonts w:hint="eastAsia" w:eastAsia="仿宋_GB2312"/>
          <w:b w:val="0"/>
          <w:bCs w:val="0"/>
          <w:color w:val="000000" w:themeColor="text1"/>
          <w:sz w:val="32"/>
          <w:szCs w:val="32"/>
          <w:lang w:eastAsia="zh-CN"/>
          <w14:textFill>
            <w14:solidFill>
              <w14:schemeClr w14:val="tx1"/>
            </w14:solidFill>
          </w14:textFill>
        </w:rPr>
        <w:t>；</w:t>
      </w:r>
    </w:p>
    <w:p>
      <w:pPr>
        <w:spacing w:line="540" w:lineRule="exact"/>
        <w:ind w:left="0" w:firstLine="640" w:firstLineChars="200"/>
        <w:rPr>
          <w:rFonts w:hint="eastAsia" w:eastAsia="仿宋_GB2312"/>
          <w:b w:val="0"/>
          <w:bCs w:val="0"/>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地块五：</w:t>
      </w:r>
      <w:r>
        <w:rPr>
          <w:rFonts w:hint="eastAsia" w:ascii="仿宋" w:hAnsi="仿宋" w:eastAsia="仿宋" w:cs="Times New Roman"/>
          <w:sz w:val="32"/>
          <w:szCs w:val="32"/>
          <w:highlight w:val="none"/>
        </w:rPr>
        <w:t>28.5576</w:t>
      </w:r>
      <w:r>
        <w:rPr>
          <w:rFonts w:hint="eastAsia" w:ascii="仿宋" w:hAnsi="仿宋" w:eastAsia="仿宋" w:cs="Times New Roman"/>
          <w:sz w:val="32"/>
          <w:szCs w:val="32"/>
          <w:highlight w:val="none"/>
          <w:lang w:val="en-US" w:eastAsia="zh-CN"/>
        </w:rPr>
        <w:t>万元（贰拾捌万伍仟伍佰柒拾陆元整）</w:t>
      </w:r>
      <w:r>
        <w:rPr>
          <w:rFonts w:hint="eastAsia" w:eastAsia="仿宋_GB2312"/>
          <w:b w:val="0"/>
          <w:bCs w:val="0"/>
          <w:color w:val="000000" w:themeColor="text1"/>
          <w:sz w:val="32"/>
          <w:szCs w:val="32"/>
          <w:highlight w:val="none"/>
          <w:lang w:eastAsia="zh-CN"/>
          <w14:textFill>
            <w14:solidFill>
              <w14:schemeClr w14:val="tx1"/>
            </w14:solidFill>
          </w14:textFill>
        </w:rPr>
        <w:t>；</w:t>
      </w:r>
    </w:p>
    <w:p>
      <w:pPr>
        <w:spacing w:line="540" w:lineRule="exact"/>
        <w:ind w:left="0" w:firstLine="640" w:firstLineChars="200"/>
        <w:rPr>
          <w:rFonts w:hint="eastAsia" w:eastAsia="仿宋_GB2312"/>
          <w:b w:val="0"/>
          <w:bCs w:val="0"/>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地块六：</w:t>
      </w:r>
      <w:r>
        <w:rPr>
          <w:rFonts w:hint="eastAsia" w:ascii="仿宋" w:hAnsi="仿宋" w:eastAsia="仿宋" w:cs="Times New Roman"/>
          <w:sz w:val="32"/>
          <w:szCs w:val="32"/>
          <w:highlight w:val="none"/>
        </w:rPr>
        <w:t>51.1011</w:t>
      </w:r>
      <w:r>
        <w:rPr>
          <w:rFonts w:hint="eastAsia" w:ascii="仿宋" w:hAnsi="仿宋" w:eastAsia="仿宋" w:cs="Times New Roman"/>
          <w:sz w:val="32"/>
          <w:szCs w:val="32"/>
          <w:highlight w:val="none"/>
          <w:lang w:val="en-US" w:eastAsia="zh-CN"/>
        </w:rPr>
        <w:t>万元（伍拾壹万壹仟零壹拾壹元整）</w:t>
      </w:r>
      <w:r>
        <w:rPr>
          <w:rFonts w:hint="eastAsia" w:eastAsia="仿宋_GB2312"/>
          <w:b w:val="0"/>
          <w:bCs w:val="0"/>
          <w:color w:val="000000" w:themeColor="text1"/>
          <w:sz w:val="32"/>
          <w:szCs w:val="32"/>
          <w:highlight w:val="none"/>
          <w:lang w:eastAsia="zh-CN"/>
          <w14:textFill>
            <w14:solidFill>
              <w14:schemeClr w14:val="tx1"/>
            </w14:solidFill>
          </w14:textFill>
        </w:rPr>
        <w:t>；</w:t>
      </w:r>
    </w:p>
    <w:p>
      <w:pPr>
        <w:spacing w:line="540" w:lineRule="exact"/>
        <w:ind w:left="0" w:firstLine="640" w:firstLineChars="200"/>
        <w:rPr>
          <w:rFonts w:hint="eastAsia" w:eastAsia="仿宋_GB2312"/>
          <w:b w:val="0"/>
          <w:bCs w:val="0"/>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地块七：</w:t>
      </w:r>
      <w:r>
        <w:rPr>
          <w:rFonts w:hint="eastAsia" w:ascii="仿宋" w:hAnsi="仿宋" w:eastAsia="仿宋" w:cs="Times New Roman"/>
          <w:sz w:val="32"/>
          <w:szCs w:val="32"/>
          <w:highlight w:val="none"/>
        </w:rPr>
        <w:t>64.8659</w:t>
      </w:r>
      <w:r>
        <w:rPr>
          <w:rFonts w:hint="eastAsia" w:ascii="仿宋" w:hAnsi="仿宋" w:eastAsia="仿宋" w:cs="Times New Roman"/>
          <w:sz w:val="32"/>
          <w:szCs w:val="32"/>
          <w:highlight w:val="none"/>
          <w:lang w:val="en-US" w:eastAsia="zh-CN"/>
        </w:rPr>
        <w:t>万元（陆拾肆万捌仟陆佰伍拾玖元整）</w:t>
      </w:r>
      <w:r>
        <w:rPr>
          <w:rFonts w:hint="eastAsia" w:eastAsia="仿宋_GB2312"/>
          <w:b w:val="0"/>
          <w:bCs w:val="0"/>
          <w:color w:val="000000" w:themeColor="text1"/>
          <w:sz w:val="32"/>
          <w:szCs w:val="32"/>
          <w:highlight w:val="none"/>
          <w:lang w:eastAsia="zh-CN"/>
          <w14:textFill>
            <w14:solidFill>
              <w14:schemeClr w14:val="tx1"/>
            </w14:solidFill>
          </w14:textFill>
        </w:rPr>
        <w:t>；</w:t>
      </w:r>
    </w:p>
    <w:p>
      <w:pPr>
        <w:spacing w:line="540" w:lineRule="exact"/>
        <w:ind w:left="0" w:firstLine="640" w:firstLineChars="200"/>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地块八：</w:t>
      </w:r>
      <w:r>
        <w:rPr>
          <w:rFonts w:hint="eastAsia" w:ascii="仿宋" w:hAnsi="仿宋" w:eastAsia="仿宋" w:cs="Times New Roman"/>
          <w:sz w:val="32"/>
          <w:szCs w:val="32"/>
          <w:highlight w:val="none"/>
        </w:rPr>
        <w:t>103.6022</w:t>
      </w:r>
      <w:r>
        <w:rPr>
          <w:rFonts w:hint="eastAsia" w:ascii="仿宋" w:hAnsi="仿宋" w:eastAsia="仿宋" w:cs="Times New Roman"/>
          <w:kern w:val="0"/>
          <w:sz w:val="32"/>
          <w:szCs w:val="32"/>
          <w:highlight w:val="none"/>
          <w:lang w:val="en-US" w:eastAsia="zh-CN"/>
        </w:rPr>
        <w:t>万元（</w:t>
      </w:r>
      <w:r>
        <w:rPr>
          <w:rFonts w:hint="eastAsia" w:ascii="仿宋" w:hAnsi="仿宋" w:eastAsia="仿宋" w:cs="Times New Roman"/>
          <w:sz w:val="32"/>
          <w:szCs w:val="32"/>
          <w:highlight w:val="none"/>
          <w:lang w:val="en-US" w:eastAsia="zh-CN"/>
        </w:rPr>
        <w:t>壹佰零叁万陆仟零贰拾贰元整</w:t>
      </w:r>
      <w:r>
        <w:rPr>
          <w:rFonts w:hint="eastAsia" w:ascii="仿宋" w:hAnsi="仿宋" w:eastAsia="仿宋" w:cs="Times New Roman"/>
          <w:kern w:val="0"/>
          <w:sz w:val="32"/>
          <w:szCs w:val="32"/>
          <w:highlight w:val="none"/>
          <w:lang w:val="en-US" w:eastAsia="zh-CN"/>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p>
    <w:p>
      <w:pPr>
        <w:spacing w:line="540" w:lineRule="exact"/>
        <w:ind w:left="0" w:firstLine="640" w:firstLineChars="200"/>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地块九：</w:t>
      </w:r>
      <w:r>
        <w:rPr>
          <w:rFonts w:hint="eastAsia" w:ascii="仿宋" w:hAnsi="仿宋" w:eastAsia="仿宋" w:cs="Times New Roman"/>
          <w:sz w:val="32"/>
          <w:szCs w:val="32"/>
          <w:highlight w:val="none"/>
        </w:rPr>
        <w:t>13.2314</w:t>
      </w:r>
      <w:r>
        <w:rPr>
          <w:rFonts w:hint="eastAsia" w:ascii="仿宋" w:hAnsi="仿宋" w:eastAsia="仿宋" w:cs="Times New Roman"/>
          <w:kern w:val="0"/>
          <w:sz w:val="32"/>
          <w:szCs w:val="32"/>
          <w:highlight w:val="none"/>
          <w:lang w:val="en-US" w:eastAsia="zh-CN"/>
        </w:rPr>
        <w:t>万元（</w:t>
      </w:r>
      <w:r>
        <w:rPr>
          <w:rFonts w:hint="eastAsia" w:ascii="仿宋" w:hAnsi="仿宋" w:eastAsia="仿宋" w:cs="Times New Roman"/>
          <w:sz w:val="32"/>
          <w:szCs w:val="32"/>
          <w:highlight w:val="none"/>
          <w:lang w:val="en-US" w:eastAsia="zh-CN"/>
        </w:rPr>
        <w:t>壹拾叁万贰仟叁佰壹拾肆元整</w:t>
      </w:r>
      <w:r>
        <w:rPr>
          <w:rFonts w:hint="eastAsia" w:ascii="仿宋" w:hAnsi="仿宋" w:eastAsia="仿宋" w:cs="Times New Roman"/>
          <w:kern w:val="0"/>
          <w:sz w:val="32"/>
          <w:szCs w:val="32"/>
          <w:highlight w:val="none"/>
          <w:lang w:val="en-US" w:eastAsia="zh-CN"/>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宗地的挂牌起始价</w:t>
      </w:r>
      <w:r>
        <w:rPr>
          <w:rFonts w:hint="eastAsia"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地块一：25.682</w:t>
      </w:r>
      <w:r>
        <w:rPr>
          <w:rFonts w:hint="eastAsia" w:ascii="仿宋" w:hAnsi="仿宋" w:eastAsia="仿宋" w:cs="Times New Roman"/>
          <w:kern w:val="0"/>
          <w:sz w:val="32"/>
          <w:szCs w:val="32"/>
          <w:highlight w:val="none"/>
          <w:lang w:val="en-US" w:eastAsia="zh-CN"/>
        </w:rPr>
        <w:t>万元（</w:t>
      </w:r>
      <w:r>
        <w:rPr>
          <w:rFonts w:hint="eastAsia" w:ascii="仿宋" w:hAnsi="仿宋" w:eastAsia="仿宋" w:cs="Times New Roman"/>
          <w:sz w:val="32"/>
          <w:szCs w:val="32"/>
          <w:lang w:val="en-US" w:eastAsia="zh-CN"/>
        </w:rPr>
        <w:t>贰拾伍万陆仟捌佰贰拾元整</w:t>
      </w:r>
      <w:r>
        <w:rPr>
          <w:rFonts w:hint="eastAsia" w:ascii="仿宋" w:hAnsi="仿宋" w:eastAsia="仿宋" w:cs="Times New Roman"/>
          <w:kern w:val="0"/>
          <w:sz w:val="32"/>
          <w:szCs w:val="32"/>
          <w:highlight w:val="none"/>
          <w:lang w:val="en-US" w:eastAsia="zh-CN"/>
        </w:rPr>
        <w:t>）</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地块二：</w:t>
      </w:r>
      <w:r>
        <w:rPr>
          <w:rFonts w:hint="eastAsia" w:ascii="仿宋" w:hAnsi="仿宋" w:eastAsia="仿宋" w:cs="Times New Roman"/>
          <w:kern w:val="0"/>
          <w:sz w:val="32"/>
          <w:szCs w:val="32"/>
          <w:highlight w:val="none"/>
          <w:lang w:val="en-US" w:eastAsia="zh-CN"/>
        </w:rPr>
        <w:t>454.0273</w:t>
      </w:r>
      <w:r>
        <w:rPr>
          <w:rFonts w:hint="eastAsia" w:ascii="仿宋" w:hAnsi="仿宋" w:eastAsia="仿宋" w:cs="仿宋"/>
          <w:sz w:val="32"/>
          <w:szCs w:val="32"/>
          <w:highlight w:val="none"/>
          <w:lang w:val="en-US" w:eastAsia="zh-CN"/>
        </w:rPr>
        <w:t>万元（肆佰伍拾肆万零贰佰柒拾叁元整）</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地块三：546.3921</w:t>
      </w:r>
      <w:r>
        <w:rPr>
          <w:rFonts w:hint="eastAsia" w:ascii="仿宋" w:hAnsi="仿宋" w:eastAsia="仿宋" w:cs="仿宋"/>
          <w:sz w:val="32"/>
          <w:szCs w:val="32"/>
          <w:highlight w:val="none"/>
          <w:lang w:val="en-US" w:eastAsia="zh-CN"/>
        </w:rPr>
        <w:t>万元（</w:t>
      </w:r>
      <w:r>
        <w:rPr>
          <w:rFonts w:hint="eastAsia" w:ascii="仿宋" w:hAnsi="仿宋" w:eastAsia="仿宋" w:cs="仿宋"/>
          <w:color w:val="auto"/>
          <w:sz w:val="32"/>
          <w:lang w:eastAsia="zh-CN"/>
        </w:rPr>
        <w:t>伍佰肆拾陆万叁仟玖佰贰拾壹元整</w:t>
      </w:r>
      <w:r>
        <w:rPr>
          <w:rFonts w:hint="eastAsia" w:ascii="仿宋" w:hAnsi="仿宋" w:eastAsia="仿宋" w:cs="仿宋"/>
          <w:sz w:val="32"/>
          <w:szCs w:val="32"/>
          <w:highlight w:val="none"/>
          <w:lang w:val="en-US" w:eastAsia="zh-CN"/>
        </w:rPr>
        <w:t>）</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地块四：19.2512</w:t>
      </w:r>
      <w:r>
        <w:rPr>
          <w:rFonts w:hint="eastAsia" w:ascii="仿宋" w:hAnsi="仿宋" w:eastAsia="仿宋" w:cs="仿宋"/>
          <w:sz w:val="32"/>
          <w:szCs w:val="32"/>
          <w:highlight w:val="none"/>
          <w:lang w:val="en-US" w:eastAsia="zh-CN"/>
        </w:rPr>
        <w:t>万元（壹拾玖万贰仟伍佰壹拾贰元整）</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地块五：</w:t>
      </w:r>
      <w:r>
        <w:rPr>
          <w:rFonts w:hint="eastAsia" w:ascii="仿宋" w:hAnsi="仿宋" w:eastAsia="仿宋" w:cs="Times New Roman"/>
          <w:sz w:val="32"/>
          <w:szCs w:val="32"/>
        </w:rPr>
        <w:t>28.5576</w:t>
      </w:r>
      <w:r>
        <w:rPr>
          <w:rFonts w:hint="eastAsia" w:ascii="仿宋" w:hAnsi="仿宋" w:eastAsia="仿宋" w:cs="Times New Roman"/>
          <w:sz w:val="32"/>
          <w:szCs w:val="32"/>
          <w:lang w:val="en-US" w:eastAsia="zh-CN"/>
        </w:rPr>
        <w:t>万元（贰拾捌万伍仟伍佰柒拾陆元整）</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地块六：</w:t>
      </w:r>
      <w:r>
        <w:rPr>
          <w:rFonts w:hint="eastAsia" w:ascii="仿宋" w:hAnsi="仿宋" w:eastAsia="仿宋" w:cs="Times New Roman"/>
          <w:sz w:val="32"/>
          <w:szCs w:val="32"/>
        </w:rPr>
        <w:t>51.1011</w:t>
      </w:r>
      <w:r>
        <w:rPr>
          <w:rFonts w:hint="eastAsia" w:ascii="仿宋" w:hAnsi="仿宋" w:eastAsia="仿宋" w:cs="Times New Roman"/>
          <w:sz w:val="32"/>
          <w:szCs w:val="32"/>
          <w:lang w:val="en-US" w:eastAsia="zh-CN"/>
        </w:rPr>
        <w:t>万元（伍拾壹万壹仟零壹拾壹元整）</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地块七：</w:t>
      </w:r>
      <w:r>
        <w:rPr>
          <w:rFonts w:hint="eastAsia" w:ascii="仿宋" w:hAnsi="仿宋" w:eastAsia="仿宋" w:cs="Times New Roman"/>
          <w:sz w:val="32"/>
          <w:szCs w:val="32"/>
        </w:rPr>
        <w:t>64.8659</w:t>
      </w:r>
      <w:r>
        <w:rPr>
          <w:rFonts w:hint="eastAsia" w:ascii="仿宋" w:hAnsi="仿宋" w:eastAsia="仿宋" w:cs="Times New Roman"/>
          <w:sz w:val="32"/>
          <w:szCs w:val="32"/>
          <w:lang w:val="en-US" w:eastAsia="zh-CN"/>
        </w:rPr>
        <w:t>万元（陆拾肆万捌仟陆佰伍拾玖元整）</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地块八：</w:t>
      </w:r>
      <w:r>
        <w:rPr>
          <w:rFonts w:hint="eastAsia" w:ascii="仿宋" w:hAnsi="仿宋" w:eastAsia="仿宋" w:cs="Times New Roman"/>
          <w:sz w:val="32"/>
          <w:szCs w:val="32"/>
        </w:rPr>
        <w:t>103.6022</w:t>
      </w:r>
      <w:r>
        <w:rPr>
          <w:rFonts w:hint="eastAsia" w:ascii="仿宋" w:hAnsi="仿宋" w:eastAsia="仿宋" w:cs="Times New Roman"/>
          <w:kern w:val="0"/>
          <w:sz w:val="32"/>
          <w:szCs w:val="32"/>
          <w:highlight w:val="none"/>
          <w:lang w:val="en-US" w:eastAsia="zh-CN"/>
        </w:rPr>
        <w:t>万元（</w:t>
      </w:r>
      <w:r>
        <w:rPr>
          <w:rFonts w:hint="eastAsia" w:ascii="仿宋" w:hAnsi="仿宋" w:eastAsia="仿宋" w:cs="Times New Roman"/>
          <w:sz w:val="32"/>
          <w:szCs w:val="32"/>
          <w:lang w:val="en-US" w:eastAsia="zh-CN"/>
        </w:rPr>
        <w:t>壹佰零叁万陆仟零贰拾贰元整</w:t>
      </w:r>
      <w:r>
        <w:rPr>
          <w:rFonts w:hint="eastAsia" w:ascii="仿宋" w:hAnsi="仿宋" w:eastAsia="仿宋" w:cs="Times New Roman"/>
          <w:kern w:val="0"/>
          <w:sz w:val="32"/>
          <w:szCs w:val="32"/>
          <w:highlight w:val="none"/>
          <w:lang w:val="en-US" w:eastAsia="zh-CN"/>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地块九：</w:t>
      </w:r>
      <w:r>
        <w:rPr>
          <w:rFonts w:hint="eastAsia" w:ascii="仿宋" w:hAnsi="仿宋" w:eastAsia="仿宋" w:cs="Times New Roman"/>
          <w:sz w:val="32"/>
          <w:szCs w:val="32"/>
        </w:rPr>
        <w:t>13.2314</w:t>
      </w:r>
      <w:r>
        <w:rPr>
          <w:rFonts w:hint="eastAsia" w:ascii="仿宋" w:hAnsi="仿宋" w:eastAsia="仿宋" w:cs="Times New Roman"/>
          <w:kern w:val="0"/>
          <w:sz w:val="32"/>
          <w:szCs w:val="32"/>
          <w:highlight w:val="none"/>
          <w:lang w:val="en-US" w:eastAsia="zh-CN"/>
        </w:rPr>
        <w:t>万元（</w:t>
      </w:r>
      <w:r>
        <w:rPr>
          <w:rFonts w:hint="eastAsia" w:ascii="仿宋" w:hAnsi="仿宋" w:eastAsia="仿宋" w:cs="Times New Roman"/>
          <w:sz w:val="32"/>
          <w:szCs w:val="32"/>
          <w:lang w:val="en-US" w:eastAsia="zh-CN"/>
        </w:rPr>
        <w:t>壹拾叁万贰仟叁佰壹拾肆元整</w:t>
      </w:r>
      <w:r>
        <w:rPr>
          <w:rFonts w:hint="eastAsia" w:ascii="仿宋" w:hAnsi="仿宋" w:eastAsia="仿宋" w:cs="Times New Roman"/>
          <w:kern w:val="0"/>
          <w:sz w:val="32"/>
          <w:szCs w:val="32"/>
          <w:highlight w:val="none"/>
          <w:lang w:val="en-US" w:eastAsia="zh-CN"/>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五、网上竞买申请流程</w:t>
      </w:r>
      <w:r>
        <w:rPr>
          <w:rFonts w:hint="eastAsia" w:ascii="仿宋" w:hAnsi="仿宋" w:eastAsia="仿宋"/>
          <w:color w:val="000000" w:themeColor="text1"/>
          <w:sz w:val="32"/>
          <w:szCs w:val="32"/>
          <w14:textFill>
            <w14:solidFill>
              <w14:schemeClr w14:val="tx1"/>
            </w14:solidFill>
          </w14:textFill>
        </w:rPr>
        <w:tab/>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（一）</w:t>
      </w:r>
      <w:r>
        <w:rPr>
          <w:rFonts w:hint="eastAsia" w:ascii="仿宋" w:hAnsi="仿宋" w:eastAsia="仿宋" w:cs="FangSong_GB2312"/>
          <w:bCs/>
          <w:color w:val="000000" w:themeColor="text1"/>
          <w:sz w:val="32"/>
          <w:szCs w:val="32"/>
          <w14:textFill>
            <w14:solidFill>
              <w14:schemeClr w14:val="tx1"/>
            </w14:solidFill>
          </w14:textFill>
        </w:rPr>
        <w:t>CA数字证书的获取及绑定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1、获取方式</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竞买人在报名期内登录“内蒙古自治区国土资源网上交易系统”使用CA证书获取预申购资源的竞买申请书。CA证书的办理流程详见乌海市公共资源交易中心网站办事指南中CA办理指南。</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2、CA数字证书驱动下载及系统绑定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（1）在计算机上插入</w:t>
      </w:r>
      <w:r>
        <w:rPr>
          <w:rStyle w:val="17"/>
          <w:rFonts w:hint="eastAsia" w:ascii="仿宋" w:hAnsi="仿宋" w:eastAsia="仿宋"/>
          <w:b w:val="0"/>
          <w:color w:val="000000" w:themeColor="text1"/>
          <w:sz w:val="32"/>
          <w:szCs w:val="32"/>
          <w14:textFill>
            <w14:solidFill>
              <w14:schemeClr w14:val="tx1"/>
            </w14:solidFill>
          </w14:textFill>
        </w:rPr>
        <w:t>CA数字证书</w:t>
      </w:r>
      <w:r>
        <w:rPr>
          <w:rFonts w:hint="eastAsia" w:ascii="仿宋" w:hAnsi="仿宋" w:eastAsia="仿宋"/>
          <w:color w:val="000000" w:themeColor="text1"/>
          <w:sz w:val="32"/>
          <w:szCs w:val="32"/>
          <w14:textFill>
            <w14:solidFill>
              <w14:schemeClr w14:val="tx1"/>
            </w14:solidFill>
          </w14:textFill>
        </w:rPr>
        <w:t>，打开IE浏览器输入网址：http://110.16.70.81:8090/trade-engine/trade/index进入内蒙古自治区国土资源交易系统首页（IE浏览器版本不得低于IE10）；</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（2）点击“服务中心”，进入资料下载列表，在此可下载</w:t>
      </w:r>
      <w:r>
        <w:rPr>
          <w:rStyle w:val="17"/>
          <w:rFonts w:hint="eastAsia" w:ascii="仿宋" w:hAnsi="仿宋" w:eastAsia="仿宋"/>
          <w:b w:val="0"/>
          <w:color w:val="000000" w:themeColor="text1"/>
          <w:sz w:val="32"/>
          <w:szCs w:val="32"/>
          <w14:textFill>
            <w14:solidFill>
              <w14:schemeClr w14:val="tx1"/>
            </w14:solidFill>
          </w14:textFill>
        </w:rPr>
        <w:t>CA数字证书驱动</w:t>
      </w:r>
      <w:r>
        <w:rPr>
          <w:rFonts w:hint="eastAsia" w:ascii="仿宋" w:hAnsi="仿宋" w:eastAsia="仿宋"/>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（3）驱动安装完成后在“网上交易系统”左上方点击“请登录”按钮进入到系统登录页面，点击“互认平台认证登陆”，页面自动跳转至</w:t>
      </w:r>
      <w:r>
        <w:rPr>
          <w:rStyle w:val="17"/>
          <w:rFonts w:hint="eastAsia" w:ascii="仿宋" w:hAnsi="仿宋" w:eastAsia="仿宋"/>
          <w:b w:val="0"/>
          <w:color w:val="000000" w:themeColor="text1"/>
          <w:sz w:val="32"/>
          <w:szCs w:val="32"/>
          <w14:textFill>
            <w14:solidFill>
              <w14:schemeClr w14:val="tx1"/>
            </w14:solidFill>
          </w14:textFill>
        </w:rPr>
        <w:t>内蒙古自治区统一认证平台</w:t>
      </w:r>
      <w:r>
        <w:rPr>
          <w:rFonts w:hint="eastAsia" w:ascii="仿宋" w:hAnsi="仿宋" w:eastAsia="仿宋"/>
          <w:color w:val="000000" w:themeColor="text1"/>
          <w:sz w:val="32"/>
          <w:szCs w:val="32"/>
          <w14:textFill>
            <w14:solidFill>
              <w14:schemeClr w14:val="tx1"/>
            </w14:solidFill>
          </w14:textFill>
        </w:rPr>
        <w:t>，需先点击“互认平台认证登录”输入密码进行CA认证，最后点击“进入授权”按钮，登录成功。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（二）本次土地挂牌出让采用网上竞买申请的方式，竞买人在报名期内插入CA数字证书使用IE浏览器（IE浏览器版本不得低于IE10）登录</w:t>
      </w:r>
      <w:r>
        <w:rPr>
          <w:rFonts w:hint="eastAsia" w:ascii="仿宋" w:hAnsi="仿宋" w:eastAsia="仿宋" w:cs="FangSong_GB2312"/>
          <w:color w:val="000000" w:themeColor="text1"/>
          <w:sz w:val="32"/>
          <w:szCs w:val="32"/>
          <w14:textFill>
            <w14:solidFill>
              <w14:schemeClr w14:val="tx1"/>
            </w14:solidFill>
          </w14:textFill>
        </w:rPr>
        <w:t>内蒙古自治区国土资源交易系统（http://110.16.70.81:8090/trade-engine/trade/index）</w:t>
      </w:r>
      <w:r>
        <w:rPr>
          <w:rFonts w:hint="eastAsia" w:ascii="仿宋" w:hAnsi="仿宋" w:eastAsia="仿宋"/>
          <w:color w:val="000000" w:themeColor="text1"/>
          <w:sz w:val="32"/>
          <w:szCs w:val="32"/>
          <w14:textFill>
            <w14:solidFill>
              <w14:schemeClr w14:val="tx1"/>
            </w14:solidFill>
          </w14:textFill>
        </w:rPr>
        <w:t>点击预申购的资源。</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（三）竞买申请书填写</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填写《竞买申请书》，填写完成后点击“下载签章文件”按钮，将签章文件保存至计算机。</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1、在线签章</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2、保证金缴纳</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tabs>
          <w:tab w:val="left" w:pos="4380"/>
        </w:tabs>
        <w:spacing w:line="540" w:lineRule="exact"/>
        <w:ind w:left="0" w:firstLine="640" w:firstLineChars="20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注：如对系统操作存在疑问，可点击交易系统“服务中心”栏目下的“资料下载”功能下载用户操作手册。</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六、网上挂牌报价</w:t>
      </w:r>
    </w:p>
    <w:p>
      <w:pPr>
        <w:tabs>
          <w:tab w:val="left" w:pos="4380"/>
        </w:tabs>
        <w:spacing w:line="540" w:lineRule="exact"/>
        <w:ind w:left="0" w:firstLine="640" w:firstLineChars="200"/>
        <w:rPr>
          <w:rFonts w:ascii="仿宋" w:hAnsi="仿宋" w:eastAsia="仿宋"/>
          <w:color w:val="FF0000"/>
          <w:sz w:val="32"/>
          <w:szCs w:val="32"/>
        </w:rPr>
      </w:pPr>
      <w:r>
        <w:rPr>
          <w:rFonts w:hint="eastAsia" w:ascii="仿宋" w:hAnsi="仿宋" w:eastAsia="仿宋"/>
          <w:color w:val="000000" w:themeColor="text1"/>
          <w:sz w:val="32"/>
          <w:szCs w:val="32"/>
          <w14:textFill>
            <w14:solidFill>
              <w14:schemeClr w14:val="tx1"/>
            </w14:solidFill>
          </w14:textFill>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挂牌期内竞买人可以多次出价，每次报价必须按增价幅度的倍数报价且高于当前最高有效报价。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（二）挂牌期确定预竞得人：挂牌期内只有一个竞买人报价且高于底价确定为预竞得人，报价低于底价不成交。资源挂牌期截止后，有两个以上的竞买人参与挂牌报价，系统进入限时竞价。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特别提示：</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竞买人须在资源挂牌期间进行一次网上有效报价，才有资格参加之后的限时竞价环节，否则视为自动放弃竞买权。</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七、限时竞价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（一）询问期：资源挂牌期截止后，有两个以上的竞买人参与挂牌报价，系统自动进入</w:t>
      </w:r>
      <w:r>
        <w:rPr>
          <w:rStyle w:val="17"/>
          <w:rFonts w:hint="eastAsia" w:ascii="仿宋" w:hAnsi="仿宋" w:eastAsia="仿宋"/>
          <w:b w:val="0"/>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分钟询问期，询问期结束后，进入限时竞价环节；</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（二）限时竞价：进入限时竞价环节的竞买人需在系统设定的倒计时时间内进行报价，报价应是增价幅度的倍数，系统以</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分钟倒计时为竞价时限，如在</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分钟倒计时内有新的报价，系统即从接受新报价之时起重置竞价时限，竞买人可参加新一轮的报价。</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分钟倒计时内无人报价，则在该地块</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分钟倒计时结束时自动关闭竞价通道，系统确定当前最高有效报价，限时竞价结束。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（四）预竞得人登录“网上交易系统”在“个人中心-&gt;我的文档”中打印《国有土地使用权预成交确认书》。</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八、资质审查</w:t>
      </w:r>
    </w:p>
    <w:p>
      <w:pPr>
        <w:tabs>
          <w:tab w:val="left" w:pos="4380"/>
        </w:tabs>
        <w:spacing w:line="540" w:lineRule="exact"/>
        <w:ind w:left="0"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预竞得人在系统签发《国有土地使用权预成交确认书》的2个工作日内，将企业营业执照</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、法定代表人身份证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、如委托他人办理的须上传委托书及受托人身份证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、《国有土地使用权预成交确认书》</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保证金缴纳回执单</w:t>
      </w:r>
      <w:r>
        <w:rPr>
          <w:rFonts w:hint="eastAsia" w:ascii="仿宋" w:hAnsi="仿宋" w:eastAsia="仿宋"/>
          <w:b/>
          <w:bCs/>
          <w:color w:val="000000" w:themeColor="text1"/>
          <w:sz w:val="32"/>
          <w:szCs w:val="32"/>
          <w14:textFill>
            <w14:solidFill>
              <w14:schemeClr w14:val="tx1"/>
            </w14:solidFill>
          </w14:textFill>
        </w:rPr>
        <w:t>上传至交易系统。</w:t>
      </w:r>
      <w:r>
        <w:rPr>
          <w:rFonts w:hint="eastAsia" w:ascii="仿宋" w:hAnsi="仿宋" w:eastAsia="仿宋"/>
          <w:b/>
          <w:bCs/>
          <w:color w:val="FF0000"/>
          <w:sz w:val="32"/>
          <w:szCs w:val="32"/>
        </w:rPr>
        <w:t>房地产开发和商业用地，预竞得人须上传保证金不属于银行贷款、股东借款、转贷和募集资金的承诺书及商业金融机构的资信证明</w:t>
      </w:r>
      <w:r>
        <w:rPr>
          <w:rFonts w:hint="eastAsia" w:ascii="仿宋" w:hAnsi="仿宋" w:eastAsia="仿宋"/>
          <w:b/>
          <w:bCs/>
          <w:color w:val="000000" w:themeColor="text1"/>
          <w:sz w:val="32"/>
          <w:szCs w:val="32"/>
          <w14:textFill>
            <w14:solidFill>
              <w14:schemeClr w14:val="tx1"/>
            </w14:solidFill>
          </w14:textFill>
        </w:rPr>
        <w:t>。交易中心在线对其进行资格确认。 通过资格确认的，交易中心签发《成交确认书》，未通过资格确认的取消其竞得资格。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九、成交确认</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在资格审查结束后，根据审查结果确定资源成交，竞得人持所需材料在公告约定时间内与出让人签订国有土地使用权成交确认书；未通过审核的取消其竞得资格。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十、结果公示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成交确认书签订后，出让人与交易机构10个工作日内在相关网站发布成交结果公示，公示期不少于5天。</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十一、保证金的处置</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交易公示结束后，未竞得人的保证金5个工作日原路退还至基本账户（不计利息），竞得人的保证金可转做国有土地使用权出让金。</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十二、</w:t>
      </w:r>
      <w:r>
        <w:rPr>
          <w:rFonts w:hint="eastAsia" w:ascii="仿宋" w:hAnsi="仿宋" w:eastAsia="仿宋"/>
          <w:color w:val="000000" w:themeColor="text1"/>
          <w:sz w:val="32"/>
          <w:szCs w:val="32"/>
          <w14:textFill>
            <w14:solidFill>
              <w14:schemeClr w14:val="tx1"/>
            </w14:solidFill>
          </w14:textFill>
        </w:rPr>
        <w:t>竞买人未按照公告及挂牌出让文件全部要求执行的，所造成的一切损失和法律后果由竞买人自行承担。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十三、</w:t>
      </w:r>
      <w:r>
        <w:rPr>
          <w:rFonts w:hint="eastAsia" w:ascii="仿宋" w:hAnsi="仿宋" w:eastAsia="仿宋"/>
          <w:color w:val="000000" w:themeColor="text1"/>
          <w:sz w:val="32"/>
          <w:szCs w:val="32"/>
          <w14:textFill>
            <w14:solidFill>
              <w14:schemeClr w14:val="tx1"/>
            </w14:solidFill>
          </w14:textFill>
        </w:rPr>
        <w:t>竞买人在“网上交易系统”实施的所有行为，均由“网上交易系统”自动记录，视为竞买人真实或经合法授权的行为，该行为所引起的法律责任由竞买人承担。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十四、</w:t>
      </w:r>
      <w:r>
        <w:rPr>
          <w:rFonts w:hint="eastAsia" w:ascii="仿宋" w:hAnsi="仿宋" w:eastAsia="仿宋"/>
          <w:color w:val="000000" w:themeColor="text1"/>
          <w:sz w:val="32"/>
          <w:szCs w:val="32"/>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十五、</w:t>
      </w:r>
      <w:r>
        <w:rPr>
          <w:rFonts w:hint="eastAsia" w:ascii="仿宋" w:hAnsi="仿宋" w:eastAsia="仿宋"/>
          <w:color w:val="000000" w:themeColor="text1"/>
          <w:sz w:val="32"/>
          <w:szCs w:val="32"/>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十六、</w:t>
      </w:r>
      <w:r>
        <w:rPr>
          <w:rFonts w:hint="eastAsia" w:ascii="仿宋" w:hAnsi="仿宋" w:eastAsia="仿宋"/>
          <w:color w:val="000000" w:themeColor="text1"/>
          <w:sz w:val="32"/>
          <w:szCs w:val="32"/>
          <w14:textFill>
            <w14:solidFill>
              <w14:schemeClr w14:val="tx1"/>
            </w14:solidFill>
          </w14:textFill>
        </w:rPr>
        <w:t>有下列情形之一的，国有土地使用权交易行为应中止</w:t>
      </w:r>
      <w:r>
        <w:rPr>
          <w:rStyle w:val="17"/>
          <w:rFonts w:hint="eastAsia" w:ascii="仿宋" w:hAnsi="仿宋" w:eastAsia="仿宋"/>
          <w:b w:val="0"/>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（一）网上交易系统受到网络恶意入侵的；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（二）因网上交易系统遭受破坏或发生电力、网络故障等不可抗力的非交易中心因素，导致网上交易系统不能正常运行的；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（三）因不可抗力应当中止国有土地使用权交易的其他情形。</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国有土地使用权交易行为中止的原因消除后，应当及时恢复国有土地使用权交易。</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十七、</w:t>
      </w:r>
      <w:r>
        <w:rPr>
          <w:rFonts w:hint="eastAsia" w:ascii="仿宋" w:hAnsi="仿宋" w:eastAsia="仿宋"/>
          <w:color w:val="000000" w:themeColor="text1"/>
          <w:sz w:val="32"/>
          <w:szCs w:val="32"/>
          <w14:textFill>
            <w14:solidFill>
              <w14:schemeClr w14:val="tx1"/>
            </w14:solidFill>
          </w14:textFill>
        </w:rPr>
        <w:t>出现以下情形之一的即视为竞得人违约，出让人有权解除《成交确认书》，并取消竞得人的资格。</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（一）竞得人提供的资质条件证明文件虚假的；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（二）竞得人隐瞒事实，恶意串通或采取其他非法手段竞得的；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（三）竞得人拒绝签订《成交确认书》；</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（四）公示期间有举报且经调查核实属违法违规行为的。</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十八、</w:t>
      </w:r>
      <w:r>
        <w:rPr>
          <w:rFonts w:hint="eastAsia" w:ascii="仿宋" w:hAnsi="仿宋" w:eastAsia="仿宋"/>
          <w:color w:val="000000" w:themeColor="text1"/>
          <w:sz w:val="32"/>
          <w:szCs w:val="32"/>
          <w14:textFill>
            <w14:solidFill>
              <w14:schemeClr w14:val="tx1"/>
            </w14:solidFill>
          </w14:textFill>
        </w:rPr>
        <w:t>出让人对本《国有土地使用权挂牌出让须知》有最终解释权。</w:t>
      </w:r>
    </w:p>
    <w:p>
      <w:pPr>
        <w:pStyle w:val="12"/>
        <w:shd w:val="clear" w:color="auto" w:fill="FFFFFF"/>
        <w:spacing w:before="0" w:beforeAutospacing="0" w:after="0" w:afterAutospacing="0" w:line="540" w:lineRule="exact"/>
        <w:ind w:firstLine="200"/>
        <w:jc w:val="right"/>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乌海市公共资源交易中心</w:t>
      </w:r>
    </w:p>
    <w:p>
      <w:pPr>
        <w:pStyle w:val="12"/>
        <w:shd w:val="clear" w:color="auto" w:fill="FFFFFF"/>
        <w:spacing w:before="0" w:beforeAutospacing="0" w:after="0" w:afterAutospacing="0" w:line="540" w:lineRule="exact"/>
        <w:ind w:firstLine="6560" w:firstLineChars="2050"/>
        <w:jc w:val="both"/>
        <w:rPr>
          <w:rFonts w:ascii="仿宋" w:hAnsi="仿宋" w:eastAsia="仿宋"/>
          <w:color w:val="auto"/>
          <w:sz w:val="32"/>
          <w:szCs w:val="32"/>
        </w:rPr>
      </w:pP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11</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21</w:t>
      </w:r>
      <w:r>
        <w:rPr>
          <w:rFonts w:hint="eastAsia" w:ascii="仿宋" w:hAnsi="仿宋" w:eastAsia="仿宋" w:cs="FangSong_GB2312"/>
          <w:color w:val="auto"/>
          <w:sz w:val="32"/>
          <w:szCs w:val="32"/>
          <w:highlight w:val="none"/>
        </w:rPr>
        <w:t>日</w:t>
      </w:r>
    </w:p>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8ED15A5-BDC3-4689-A5A5-2833BE092162}"/>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66E46B5C-F1AF-43AA-B252-CC892891F87C}"/>
  </w:font>
  <w:font w:name="FangSong_GB2312">
    <w:altName w:val="仿宋_GB2312"/>
    <w:panose1 w:val="02010609060101010101"/>
    <w:charset w:val="00"/>
    <w:family w:val="roman"/>
    <w:pitch w:val="default"/>
    <w:sig w:usb0="00000000" w:usb1="00000000" w:usb2="00000000" w:usb3="00000000" w:csb0="00000000" w:csb1="00000000"/>
    <w:embedRegular r:id="rId3" w:fontKey="{342890CC-CCB1-4B21-BE8D-974F54AB6F9E}"/>
  </w:font>
  <w:font w:name="FangSong_GB2312falt">
    <w:altName w:val="微软雅黑"/>
    <w:panose1 w:val="00000000000000000000"/>
    <w:charset w:val="86"/>
    <w:family w:val="modern"/>
    <w:pitch w:val="default"/>
    <w:sig w:usb0="00000000" w:usb1="00000000" w:usb2="00000010" w:usb3="00000000" w:csb0="00040000" w:csb1="00000000"/>
    <w:embedRegular r:id="rId4" w:fontKey="{B9A76163-C46A-44F4-9F21-611E07A3FAE9}"/>
  </w:font>
  <w:font w:name="仿宋_GB2312">
    <w:panose1 w:val="02010609030101010101"/>
    <w:charset w:val="86"/>
    <w:family w:val="auto"/>
    <w:pitch w:val="default"/>
    <w:sig w:usb0="00000001" w:usb1="080E0000" w:usb2="00000000" w:usb3="00000000" w:csb0="00040000" w:csb1="00000000"/>
    <w:embedRegular r:id="rId5" w:fontKey="{EEBE5731-C8A8-484D-9B62-7474BB2AFBBB}"/>
  </w:font>
  <w:font w:name="微软雅黑">
    <w:panose1 w:val="020B0503020204020204"/>
    <w:charset w:val="86"/>
    <w:family w:val="auto"/>
    <w:pitch w:val="default"/>
    <w:sig w:usb0="80000287" w:usb1="2ACF3C50" w:usb2="00000016" w:usb3="00000000" w:csb0="0004001F" w:csb1="00000000"/>
    <w:embedRegular r:id="rId6" w:fontKey="{D8741B38-6903-4C92-B80F-DE1C4856A3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GgKV+LCAQAAkAMAAA4AAABkcnMvZTJvRG9jLnhtbK1T&#10;TY7TMBTeI3EHy3vqpIVqFDUdCVWDkBAgDXMA13lpLPlPttukF4AbsGLDnnP1HDw7mRKGzSzYOO/P&#10;n9/3vZfN7aAVOYEP0pqalouCEjDCNtIcavrw5e7VDSUhctNwZQ3U9AyB3m5fvtj0roKl7axqwBME&#10;MaHqXU27GF3FWBAdaB4W1oHBZGu95hFdf2CN5z2ia8WWRbFmvfWN81ZACBjdjUk6IfrnANq2lQJ2&#10;Vhw1mDiielA8IqXQSRfoNnfbtiDip7YNEImqKTKN+cRH0N6nk203vDp47jopphb4c1p4wklzafDR&#10;K9SOR06OXv4DpaXwNtg2LoTVbCSSFUEWZfFEm/uOO8hcUOrgrqKH/wcrPp4+eyKbmq4oMVzjwC/f&#10;v11+/Lr8/EreJHl6FyqsundYF4e3dsCleYwHDCbWQ+t1+iIfgnkU93wVF4ZIBAbXZbleLTElMFfe&#10;FKvXWX3257bzIb4Dq0kyaupxeFlTfvoQInaCpY8l6TFj76RSeYDK/BXAwjECeQOm24nI2HCy4rAf&#10;JnZ725yRnHpvUNjVuijSoswdP3f2c+fovDx02GyWhCVgHFRudVqqtAlzH+35j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BoClfi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AKuI77CAQAAkAMAAA4AAABkcnMvZTJvRG9jLnht&#10;bK1TS27bMBDdF8gdCO5rSk6qpILlAIWRokDRFkh6AJoiLQL8gaQt+QLtDbrqpvuey+fIkFJcNd1k&#10;0Q01Pz7OezNa3Q5aoQP3QVrT4HJRYMQNs600uwZ/fbh7fYNRiNS0VFnDG3zkAd+uL16telfzpe2s&#10;arlHAGJC3bsGdzG6mpDAOq5pWFjHDSSF9ZpGcP2OtJ72gK4VWRZFRXrrW+ct4yFAdDMm8YToXwJo&#10;hZCMbyzba27iiOq5ohEohU66gNe5WyE4i5+FCDwi1WBgGvMJj4C9TSdZr2i989R1kk0t0Je08IyT&#10;ptLAo2eoDY0U7b38B0pL5m2wIi6Y1WQkkhUBFmXxTJv7jjqeuYDUwZ1FD/8Pln06fPFItg2+wshQ&#10;DQM//fh++vn79OsbqpI8vQs1VN07qIvDOzvA0jzFAwQT60F4nb7AB0EexD2exeVDRAyCVVlWl0tI&#10;MciV12+vizcJhvy57XyI77nVKBkN9jC8rCk9fAxxLH0qSY8ZeyeVygNU5q8AYI4Rnjdgup2IjA0n&#10;Kw7bYWK3te0RyKkPBoS9rIoiLcrc8XNnO3f2zstdB81mSUgChkFlVtNSpU2Y+2DPf6T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rw1/cAAAADgEAAA8AAAAAAAAAAQAgAAAAIgAAAGRycy9kb3du&#10;cmV2LnhtbFBLAQIUABQAAAAIAIdO4kACriO+wgEAAJADAAAOAAAAAAAAAAEAIAAAACsBAABkcnMv&#10;ZTJvRG9jLnhtbFBLBQYAAAAABgAGAFkBAABfBQ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BBTAXCAQAAkAMAAA4AAABkcnMvZTJvRG9jLnhtbK1T&#10;zY7TMBC+I/EOlu/USYuqVdR0pVW1KyQESAsP4DpOY8l/GrtN+gLwBpy4cOe5+hyMnWwJy2UPXBzP&#10;j7+Z75vJ5nYwmpwkBOVsTctFQYm0wjXKHmr65fP9mxtKQuS24dpZWdOzDPR2+/rVpveVXLrO6UYC&#10;QRAbqt7XtIvRV4wF0UnDw8J5aTHYOjA8ogkH1gDvEd1otiyKNesdNB6ckCGgdzcG6YQILwF0bauE&#10;3DlxNNLGERWk5hEphU75QLe527aVIn5s2yAj0TVFpjGfWATv+3Sy7YZXB+C+U2Jqgb+khWecDFcW&#10;i16hdjxycgT1D5RRAlxwbVwIZ9hIJCuCLMrimTaPHfcyc0Gpg7+KHv4frPhw+gRENbgJlFhucOCX&#10;798uP35dfn4lyyRP70OFWY8e8+Jw54aUOvkDOhProQWTvsiHYBzFPV/FlUMkAp3rslyvlhgSGCtv&#10;itXbrD7789pDiA/SGZIuNQUcXtaUn96HiBUx9SklFbPuXmmdB6jtXw5MHD0yb8D0OhEZG063OOyH&#10;icXeNWckp99ZFHa1Loq0KHMD5sZ+bhw9qEOHzWZJWALGQeVWp6VKmzC38T7/k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CgQUwF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GCHSArBAQAAkAMAAA4AAABkcnMvZTJvRG9jLnht&#10;bK1TTY7TMBTeI3EHy3uapBUdiJqOhKpBSAiQBg7gOnZjyfazbLdJLwA3YMWGPefqOXh2MiUMm1mw&#10;cd6fP7/vey+b28FochI+KLANrRYlJcJyaJU9NPTL57sXrygJkdmWabCioWcR6O32+bNN72qxhA50&#10;KzxBEBvq3jW0i9HVRRF4JwwLC3DCYlKCNyyi6w9F61mP6EYXy7JcFz341nngIgSM7sYknRD9UwBB&#10;SsXFDvjRCBtHVC80i0gpdMoFus3dSil4/ChlEJHohiLTmE98BO19OovthtUHz1yn+NQCe0oLjzgZ&#10;piw+eoXascjI0at/oIziHgLIuOBgipFIVgRZVOUjbe475kTmglIHdxU9/D9Y/uH0yRPVNnRJiWUG&#10;B375/u3y49fl51eySvL0LtRYde+wLg5vYMCleYgHDCbWg/QmfZEPwTyKe76KK4ZIOAbXVbVeLTHF&#10;MVfdvL4pXyaY4s9t50N8K8CQZDTU4/Cypuz0PsSx9KEkPWbhTmmdB6jtXwHEHCMib8B0OxEZG05W&#10;HPbDxG4P7RnJ6XcWhV2tyzItytzxc2c/d47Oq0OHzWZJigSMg8qspqVKmzD30Z7/S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vDX9wAAAAOAQAADwAAAAAAAAABACAAAAAiAAAAZHJzL2Rvd25y&#10;ZXYueG1sUEsBAhQAFAAAAAgAh07iQGCHSArBAQAAkAMAAA4AAAAAAAAAAQAgAAAAKwEAAGRycy9l&#10;Mm9Eb2MueG1sUEsFBgAAAAAGAAYAWQEAAF4FA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abstractNum w:abstractNumId="1">
    <w:nsid w:val="2591639E"/>
    <w:multiLevelType w:val="singleLevel"/>
    <w:tmpl w:val="2591639E"/>
    <w:lvl w:ilvl="0" w:tentative="0">
      <w:start w:val="16"/>
      <w:numFmt w:val="chineseCounting"/>
      <w:suff w:val="nothing"/>
      <w:lvlText w:val="（%1）"/>
      <w:lvlJc w:val="left"/>
      <w:rPr>
        <w:rFonts w:hint="eastAsia"/>
      </w:rPr>
    </w:lvl>
  </w:abstractNum>
  <w:abstractNum w:abstractNumId="2">
    <w:nsid w:val="7E0C5DE1"/>
    <w:multiLevelType w:val="singleLevel"/>
    <w:tmpl w:val="7E0C5DE1"/>
    <w:lvl w:ilvl="0" w:tentative="0">
      <w:start w:val="1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839"/>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130D"/>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1FF4EDD"/>
    <w:rsid w:val="02233B6D"/>
    <w:rsid w:val="024600CB"/>
    <w:rsid w:val="028B18FB"/>
    <w:rsid w:val="029A7C8F"/>
    <w:rsid w:val="02A1111E"/>
    <w:rsid w:val="02DE5ECF"/>
    <w:rsid w:val="02E903CF"/>
    <w:rsid w:val="03012EB6"/>
    <w:rsid w:val="030C2C1F"/>
    <w:rsid w:val="03A82039"/>
    <w:rsid w:val="03E05C76"/>
    <w:rsid w:val="03FD0E3E"/>
    <w:rsid w:val="040F0053"/>
    <w:rsid w:val="041059C0"/>
    <w:rsid w:val="04115814"/>
    <w:rsid w:val="04194CE4"/>
    <w:rsid w:val="044E1C2B"/>
    <w:rsid w:val="04640655"/>
    <w:rsid w:val="048A0CB8"/>
    <w:rsid w:val="04BC5D9C"/>
    <w:rsid w:val="052851DF"/>
    <w:rsid w:val="05551D6C"/>
    <w:rsid w:val="05931291"/>
    <w:rsid w:val="06734B80"/>
    <w:rsid w:val="06777248"/>
    <w:rsid w:val="06B63265"/>
    <w:rsid w:val="07115CFE"/>
    <w:rsid w:val="07141709"/>
    <w:rsid w:val="07492231"/>
    <w:rsid w:val="074C630C"/>
    <w:rsid w:val="07647B82"/>
    <w:rsid w:val="07911761"/>
    <w:rsid w:val="08046EC1"/>
    <w:rsid w:val="081E6D6D"/>
    <w:rsid w:val="086676EE"/>
    <w:rsid w:val="08B651F8"/>
    <w:rsid w:val="08E91C8E"/>
    <w:rsid w:val="091C14FF"/>
    <w:rsid w:val="09554F7F"/>
    <w:rsid w:val="09AC5238"/>
    <w:rsid w:val="09B91E73"/>
    <w:rsid w:val="09D5345C"/>
    <w:rsid w:val="0A387A37"/>
    <w:rsid w:val="0B453DBF"/>
    <w:rsid w:val="0B6C7DF0"/>
    <w:rsid w:val="0BF7590B"/>
    <w:rsid w:val="0C3A6B50"/>
    <w:rsid w:val="0C701580"/>
    <w:rsid w:val="0C7156BE"/>
    <w:rsid w:val="0CBC55DD"/>
    <w:rsid w:val="0D4903E8"/>
    <w:rsid w:val="0D621DA0"/>
    <w:rsid w:val="0DD04666"/>
    <w:rsid w:val="0E175E4F"/>
    <w:rsid w:val="0E430E78"/>
    <w:rsid w:val="0E74336A"/>
    <w:rsid w:val="0F3D3A4A"/>
    <w:rsid w:val="0F61151D"/>
    <w:rsid w:val="0F915630"/>
    <w:rsid w:val="0FBC682D"/>
    <w:rsid w:val="0FDA5E7C"/>
    <w:rsid w:val="0FE62886"/>
    <w:rsid w:val="0FF860F6"/>
    <w:rsid w:val="106169ED"/>
    <w:rsid w:val="106422A2"/>
    <w:rsid w:val="11020FDA"/>
    <w:rsid w:val="121E6E1F"/>
    <w:rsid w:val="121F5BBC"/>
    <w:rsid w:val="124A5E7C"/>
    <w:rsid w:val="124F64A1"/>
    <w:rsid w:val="1283439D"/>
    <w:rsid w:val="12CB7022"/>
    <w:rsid w:val="12FD669C"/>
    <w:rsid w:val="13620456"/>
    <w:rsid w:val="139B3968"/>
    <w:rsid w:val="141C6857"/>
    <w:rsid w:val="145664B1"/>
    <w:rsid w:val="14956609"/>
    <w:rsid w:val="14B1541F"/>
    <w:rsid w:val="14CB202B"/>
    <w:rsid w:val="15406575"/>
    <w:rsid w:val="15681628"/>
    <w:rsid w:val="16133C89"/>
    <w:rsid w:val="1615355E"/>
    <w:rsid w:val="170F5060"/>
    <w:rsid w:val="175C3095"/>
    <w:rsid w:val="175E4A65"/>
    <w:rsid w:val="18000D5A"/>
    <w:rsid w:val="182A0D45"/>
    <w:rsid w:val="189A41EE"/>
    <w:rsid w:val="18CB2A86"/>
    <w:rsid w:val="18CF5571"/>
    <w:rsid w:val="18EC3795"/>
    <w:rsid w:val="1945669A"/>
    <w:rsid w:val="196D7CBC"/>
    <w:rsid w:val="19D1065C"/>
    <w:rsid w:val="1A0C2EC9"/>
    <w:rsid w:val="1A2F0966"/>
    <w:rsid w:val="1A654388"/>
    <w:rsid w:val="1A676352"/>
    <w:rsid w:val="1A713C1F"/>
    <w:rsid w:val="1AC506ED"/>
    <w:rsid w:val="1ACE4301"/>
    <w:rsid w:val="1B067919"/>
    <w:rsid w:val="1B3A0A95"/>
    <w:rsid w:val="1B3A2F9D"/>
    <w:rsid w:val="1B3A3A66"/>
    <w:rsid w:val="1B903686"/>
    <w:rsid w:val="1BAF0938"/>
    <w:rsid w:val="1BDD64C4"/>
    <w:rsid w:val="1C067028"/>
    <w:rsid w:val="1C3D1E77"/>
    <w:rsid w:val="1C661E6D"/>
    <w:rsid w:val="1D344C11"/>
    <w:rsid w:val="1D3B0967"/>
    <w:rsid w:val="1D935945"/>
    <w:rsid w:val="1DBD4B98"/>
    <w:rsid w:val="1DCF493A"/>
    <w:rsid w:val="1DEB1048"/>
    <w:rsid w:val="1DF22B3C"/>
    <w:rsid w:val="1E420CBE"/>
    <w:rsid w:val="1E6F3A27"/>
    <w:rsid w:val="1EF06916"/>
    <w:rsid w:val="1F625C18"/>
    <w:rsid w:val="1F767E64"/>
    <w:rsid w:val="1F7F7E6A"/>
    <w:rsid w:val="1FB71B33"/>
    <w:rsid w:val="1FF82CAC"/>
    <w:rsid w:val="202647F7"/>
    <w:rsid w:val="206A5224"/>
    <w:rsid w:val="20CF1F6B"/>
    <w:rsid w:val="20F31418"/>
    <w:rsid w:val="210C37AF"/>
    <w:rsid w:val="212E273D"/>
    <w:rsid w:val="21527B83"/>
    <w:rsid w:val="215A09BE"/>
    <w:rsid w:val="21D32688"/>
    <w:rsid w:val="220973D9"/>
    <w:rsid w:val="227B707F"/>
    <w:rsid w:val="22CB5E23"/>
    <w:rsid w:val="22E42C35"/>
    <w:rsid w:val="22F43ECB"/>
    <w:rsid w:val="23125D64"/>
    <w:rsid w:val="235F294A"/>
    <w:rsid w:val="23653452"/>
    <w:rsid w:val="23D55D20"/>
    <w:rsid w:val="23E443FD"/>
    <w:rsid w:val="23FB76B9"/>
    <w:rsid w:val="23FE3883"/>
    <w:rsid w:val="243634F3"/>
    <w:rsid w:val="246F478D"/>
    <w:rsid w:val="24AD1BC4"/>
    <w:rsid w:val="250A344E"/>
    <w:rsid w:val="25207829"/>
    <w:rsid w:val="252C4420"/>
    <w:rsid w:val="25590B49"/>
    <w:rsid w:val="258E50DA"/>
    <w:rsid w:val="259C1DC8"/>
    <w:rsid w:val="25DE3CBB"/>
    <w:rsid w:val="25E511E1"/>
    <w:rsid w:val="25EB42DB"/>
    <w:rsid w:val="265F25D3"/>
    <w:rsid w:val="266E4003"/>
    <w:rsid w:val="267A11BB"/>
    <w:rsid w:val="268812DB"/>
    <w:rsid w:val="269654E3"/>
    <w:rsid w:val="26E8081A"/>
    <w:rsid w:val="270B7AC8"/>
    <w:rsid w:val="270B7E24"/>
    <w:rsid w:val="27703550"/>
    <w:rsid w:val="27B801ED"/>
    <w:rsid w:val="28074CD0"/>
    <w:rsid w:val="28425D08"/>
    <w:rsid w:val="28643ED1"/>
    <w:rsid w:val="290F05C4"/>
    <w:rsid w:val="291D6D77"/>
    <w:rsid w:val="294D73CE"/>
    <w:rsid w:val="295D729E"/>
    <w:rsid w:val="29732316"/>
    <w:rsid w:val="2984009C"/>
    <w:rsid w:val="29862108"/>
    <w:rsid w:val="298F6472"/>
    <w:rsid w:val="2996630C"/>
    <w:rsid w:val="29FC015B"/>
    <w:rsid w:val="2A5801C4"/>
    <w:rsid w:val="2A7517C0"/>
    <w:rsid w:val="2A795E57"/>
    <w:rsid w:val="2AE80AD7"/>
    <w:rsid w:val="2AF272BD"/>
    <w:rsid w:val="2B32378E"/>
    <w:rsid w:val="2B8F3004"/>
    <w:rsid w:val="2BCF3D57"/>
    <w:rsid w:val="2C2B5431"/>
    <w:rsid w:val="2C93023E"/>
    <w:rsid w:val="2CC633AC"/>
    <w:rsid w:val="2D0A159E"/>
    <w:rsid w:val="2D7D772A"/>
    <w:rsid w:val="2D9C5EBB"/>
    <w:rsid w:val="2DE15604"/>
    <w:rsid w:val="2DF71C47"/>
    <w:rsid w:val="2E043D71"/>
    <w:rsid w:val="2E187C37"/>
    <w:rsid w:val="2E1A2CBD"/>
    <w:rsid w:val="2E8E6166"/>
    <w:rsid w:val="2EA9088F"/>
    <w:rsid w:val="2F422332"/>
    <w:rsid w:val="2F566C69"/>
    <w:rsid w:val="2F9B467C"/>
    <w:rsid w:val="30182170"/>
    <w:rsid w:val="304E5B92"/>
    <w:rsid w:val="305247DB"/>
    <w:rsid w:val="308415B4"/>
    <w:rsid w:val="309C34AC"/>
    <w:rsid w:val="309F60E3"/>
    <w:rsid w:val="30B04521"/>
    <w:rsid w:val="313C07E4"/>
    <w:rsid w:val="31485B61"/>
    <w:rsid w:val="315076E8"/>
    <w:rsid w:val="318B3424"/>
    <w:rsid w:val="31AF15DC"/>
    <w:rsid w:val="31B5579D"/>
    <w:rsid w:val="31D2190C"/>
    <w:rsid w:val="31E10DF1"/>
    <w:rsid w:val="3220530C"/>
    <w:rsid w:val="325244A3"/>
    <w:rsid w:val="32655415"/>
    <w:rsid w:val="32B70DC5"/>
    <w:rsid w:val="32D70A47"/>
    <w:rsid w:val="33016F86"/>
    <w:rsid w:val="33653D7A"/>
    <w:rsid w:val="33725B8E"/>
    <w:rsid w:val="33A27236"/>
    <w:rsid w:val="33C06508"/>
    <w:rsid w:val="34012F1B"/>
    <w:rsid w:val="340A662D"/>
    <w:rsid w:val="34360E17"/>
    <w:rsid w:val="34903798"/>
    <w:rsid w:val="34C2697F"/>
    <w:rsid w:val="35207CA0"/>
    <w:rsid w:val="35296DE4"/>
    <w:rsid w:val="355C181D"/>
    <w:rsid w:val="356F70AA"/>
    <w:rsid w:val="35A053D3"/>
    <w:rsid w:val="35A324DC"/>
    <w:rsid w:val="35AC25ED"/>
    <w:rsid w:val="35D11B70"/>
    <w:rsid w:val="362E3CD5"/>
    <w:rsid w:val="36354047"/>
    <w:rsid w:val="36B66E3B"/>
    <w:rsid w:val="36CC15BF"/>
    <w:rsid w:val="36F11B9A"/>
    <w:rsid w:val="377A726D"/>
    <w:rsid w:val="37F7266B"/>
    <w:rsid w:val="387A3124"/>
    <w:rsid w:val="38B4392F"/>
    <w:rsid w:val="38D07641"/>
    <w:rsid w:val="38F417C2"/>
    <w:rsid w:val="393345F4"/>
    <w:rsid w:val="393A3157"/>
    <w:rsid w:val="39580A05"/>
    <w:rsid w:val="397F0B6A"/>
    <w:rsid w:val="39BA0B35"/>
    <w:rsid w:val="39D013C6"/>
    <w:rsid w:val="3A2F7D52"/>
    <w:rsid w:val="3A7868EF"/>
    <w:rsid w:val="3A8B3E85"/>
    <w:rsid w:val="3B092B44"/>
    <w:rsid w:val="3B0E03F8"/>
    <w:rsid w:val="3B405113"/>
    <w:rsid w:val="3B8B1A48"/>
    <w:rsid w:val="3BFC2946"/>
    <w:rsid w:val="3CB55BF6"/>
    <w:rsid w:val="3D387D66"/>
    <w:rsid w:val="3E1034A1"/>
    <w:rsid w:val="3E1B36E3"/>
    <w:rsid w:val="3E447CFD"/>
    <w:rsid w:val="3E746D2E"/>
    <w:rsid w:val="3EE3104E"/>
    <w:rsid w:val="3EE735A7"/>
    <w:rsid w:val="3F3A2CA1"/>
    <w:rsid w:val="3F830C89"/>
    <w:rsid w:val="3FB461A6"/>
    <w:rsid w:val="403703F1"/>
    <w:rsid w:val="40DC6D8D"/>
    <w:rsid w:val="40DF5F72"/>
    <w:rsid w:val="40E52187"/>
    <w:rsid w:val="41087697"/>
    <w:rsid w:val="412A20B8"/>
    <w:rsid w:val="41801923"/>
    <w:rsid w:val="41872CB2"/>
    <w:rsid w:val="418E6E19"/>
    <w:rsid w:val="41A43864"/>
    <w:rsid w:val="42004812"/>
    <w:rsid w:val="420B0476"/>
    <w:rsid w:val="42156111"/>
    <w:rsid w:val="42894808"/>
    <w:rsid w:val="42D86298"/>
    <w:rsid w:val="42EE0B0F"/>
    <w:rsid w:val="436C4C92"/>
    <w:rsid w:val="43874EB8"/>
    <w:rsid w:val="439F739E"/>
    <w:rsid w:val="43B65AD0"/>
    <w:rsid w:val="43C53EED"/>
    <w:rsid w:val="43DB1093"/>
    <w:rsid w:val="44086D9A"/>
    <w:rsid w:val="440B71BB"/>
    <w:rsid w:val="4441584C"/>
    <w:rsid w:val="444C65CD"/>
    <w:rsid w:val="444F4F3A"/>
    <w:rsid w:val="446E1C6F"/>
    <w:rsid w:val="44B2713F"/>
    <w:rsid w:val="44DF1057"/>
    <w:rsid w:val="44EF6B85"/>
    <w:rsid w:val="44F92825"/>
    <w:rsid w:val="4525470A"/>
    <w:rsid w:val="45372C41"/>
    <w:rsid w:val="45780F51"/>
    <w:rsid w:val="45C323F1"/>
    <w:rsid w:val="461B60BF"/>
    <w:rsid w:val="46301D91"/>
    <w:rsid w:val="466330FF"/>
    <w:rsid w:val="467363F8"/>
    <w:rsid w:val="46A47E62"/>
    <w:rsid w:val="46DE5907"/>
    <w:rsid w:val="47310BC3"/>
    <w:rsid w:val="473968FE"/>
    <w:rsid w:val="474732F8"/>
    <w:rsid w:val="47DA120A"/>
    <w:rsid w:val="485F7C46"/>
    <w:rsid w:val="489E4A98"/>
    <w:rsid w:val="490C1CEF"/>
    <w:rsid w:val="493558F1"/>
    <w:rsid w:val="498E0956"/>
    <w:rsid w:val="49FC6E82"/>
    <w:rsid w:val="4A205CE4"/>
    <w:rsid w:val="4A54660D"/>
    <w:rsid w:val="4A8E6E5F"/>
    <w:rsid w:val="4A9621B8"/>
    <w:rsid w:val="4AC128C1"/>
    <w:rsid w:val="4AC22FAD"/>
    <w:rsid w:val="4AC436A6"/>
    <w:rsid w:val="4B3308B5"/>
    <w:rsid w:val="4B337875"/>
    <w:rsid w:val="4B5E0F69"/>
    <w:rsid w:val="4B727C4A"/>
    <w:rsid w:val="4C592403"/>
    <w:rsid w:val="4C863DA4"/>
    <w:rsid w:val="4CC045EF"/>
    <w:rsid w:val="4CC56D43"/>
    <w:rsid w:val="4CF431C6"/>
    <w:rsid w:val="4D101657"/>
    <w:rsid w:val="4D166C24"/>
    <w:rsid w:val="4D2A484F"/>
    <w:rsid w:val="4D53613E"/>
    <w:rsid w:val="4D6B3488"/>
    <w:rsid w:val="4D862070"/>
    <w:rsid w:val="4D891B60"/>
    <w:rsid w:val="4DB43081"/>
    <w:rsid w:val="4E120E4F"/>
    <w:rsid w:val="4E121B55"/>
    <w:rsid w:val="4E6F32E9"/>
    <w:rsid w:val="4E74636C"/>
    <w:rsid w:val="4E766588"/>
    <w:rsid w:val="4ECC7F56"/>
    <w:rsid w:val="4EE15319"/>
    <w:rsid w:val="4F0973FC"/>
    <w:rsid w:val="4F400944"/>
    <w:rsid w:val="4F437C01"/>
    <w:rsid w:val="4F455F5A"/>
    <w:rsid w:val="4F460C2D"/>
    <w:rsid w:val="4F755F96"/>
    <w:rsid w:val="4FCE7CFE"/>
    <w:rsid w:val="50DB56F2"/>
    <w:rsid w:val="513C488D"/>
    <w:rsid w:val="514A4DB9"/>
    <w:rsid w:val="5164091A"/>
    <w:rsid w:val="5176402F"/>
    <w:rsid w:val="51791EEB"/>
    <w:rsid w:val="52232583"/>
    <w:rsid w:val="524B1ADA"/>
    <w:rsid w:val="526B7E3F"/>
    <w:rsid w:val="52941907"/>
    <w:rsid w:val="52A925E8"/>
    <w:rsid w:val="52EB531A"/>
    <w:rsid w:val="532911E4"/>
    <w:rsid w:val="534E30A1"/>
    <w:rsid w:val="53826985"/>
    <w:rsid w:val="53866166"/>
    <w:rsid w:val="538E7ED0"/>
    <w:rsid w:val="53BD07B5"/>
    <w:rsid w:val="53E27405"/>
    <w:rsid w:val="54090B2A"/>
    <w:rsid w:val="5427547C"/>
    <w:rsid w:val="54B20F72"/>
    <w:rsid w:val="54B82E4B"/>
    <w:rsid w:val="54FD6961"/>
    <w:rsid w:val="550A1849"/>
    <w:rsid w:val="551B6DA4"/>
    <w:rsid w:val="552A1E7A"/>
    <w:rsid w:val="55340EE1"/>
    <w:rsid w:val="557F3887"/>
    <w:rsid w:val="55BD5204"/>
    <w:rsid w:val="55E71B19"/>
    <w:rsid w:val="56006F4E"/>
    <w:rsid w:val="560E354A"/>
    <w:rsid w:val="571C57F3"/>
    <w:rsid w:val="57684EDC"/>
    <w:rsid w:val="576F3AEF"/>
    <w:rsid w:val="577B5D8A"/>
    <w:rsid w:val="57893085"/>
    <w:rsid w:val="58922210"/>
    <w:rsid w:val="58FC3B2E"/>
    <w:rsid w:val="597A34A2"/>
    <w:rsid w:val="59C4289D"/>
    <w:rsid w:val="59D76D95"/>
    <w:rsid w:val="59F20F41"/>
    <w:rsid w:val="59F24FDD"/>
    <w:rsid w:val="5AD1267E"/>
    <w:rsid w:val="5B302D4D"/>
    <w:rsid w:val="5B575375"/>
    <w:rsid w:val="5B7E082A"/>
    <w:rsid w:val="5BD82630"/>
    <w:rsid w:val="5BF528CE"/>
    <w:rsid w:val="5C000337"/>
    <w:rsid w:val="5C133668"/>
    <w:rsid w:val="5C2B6D59"/>
    <w:rsid w:val="5C776D02"/>
    <w:rsid w:val="5C8B41AB"/>
    <w:rsid w:val="5CE943C9"/>
    <w:rsid w:val="5D245C48"/>
    <w:rsid w:val="5D276328"/>
    <w:rsid w:val="5D423AD9"/>
    <w:rsid w:val="5D646D9A"/>
    <w:rsid w:val="5DB6074F"/>
    <w:rsid w:val="5E1C432A"/>
    <w:rsid w:val="5E337FF2"/>
    <w:rsid w:val="5E873E9A"/>
    <w:rsid w:val="5EA82788"/>
    <w:rsid w:val="5F0A4C2A"/>
    <w:rsid w:val="5F1806FA"/>
    <w:rsid w:val="5F23318E"/>
    <w:rsid w:val="5F264AF1"/>
    <w:rsid w:val="5F8B79B9"/>
    <w:rsid w:val="5FB40CBE"/>
    <w:rsid w:val="5FDF615F"/>
    <w:rsid w:val="60730B79"/>
    <w:rsid w:val="608F40A8"/>
    <w:rsid w:val="609355AC"/>
    <w:rsid w:val="60957D19"/>
    <w:rsid w:val="609B040A"/>
    <w:rsid w:val="60B116A2"/>
    <w:rsid w:val="60CC028A"/>
    <w:rsid w:val="61070188"/>
    <w:rsid w:val="61654438"/>
    <w:rsid w:val="61724406"/>
    <w:rsid w:val="619F2B1F"/>
    <w:rsid w:val="61C86D4A"/>
    <w:rsid w:val="61E1100A"/>
    <w:rsid w:val="62807BBC"/>
    <w:rsid w:val="62BB5EA5"/>
    <w:rsid w:val="62C751AC"/>
    <w:rsid w:val="62E47B0C"/>
    <w:rsid w:val="63193E36"/>
    <w:rsid w:val="631B1054"/>
    <w:rsid w:val="63844E4C"/>
    <w:rsid w:val="638A48B7"/>
    <w:rsid w:val="63BF40D6"/>
    <w:rsid w:val="64047D3A"/>
    <w:rsid w:val="64852C29"/>
    <w:rsid w:val="64AE59F6"/>
    <w:rsid w:val="64CA4AE0"/>
    <w:rsid w:val="65653F4E"/>
    <w:rsid w:val="657F3B1C"/>
    <w:rsid w:val="65B56C0B"/>
    <w:rsid w:val="65C97631"/>
    <w:rsid w:val="65F21AB3"/>
    <w:rsid w:val="66251B68"/>
    <w:rsid w:val="66344907"/>
    <w:rsid w:val="66664CDC"/>
    <w:rsid w:val="667E3DD4"/>
    <w:rsid w:val="66D93700"/>
    <w:rsid w:val="67127912"/>
    <w:rsid w:val="6732221A"/>
    <w:rsid w:val="674D1342"/>
    <w:rsid w:val="67762CFD"/>
    <w:rsid w:val="681B4A8F"/>
    <w:rsid w:val="6849021F"/>
    <w:rsid w:val="687A3C05"/>
    <w:rsid w:val="68940414"/>
    <w:rsid w:val="692C7B17"/>
    <w:rsid w:val="69553B4D"/>
    <w:rsid w:val="69724AD7"/>
    <w:rsid w:val="698F2F8F"/>
    <w:rsid w:val="699A7177"/>
    <w:rsid w:val="699F771D"/>
    <w:rsid w:val="69AF3CD0"/>
    <w:rsid w:val="6A33110C"/>
    <w:rsid w:val="6AE54422"/>
    <w:rsid w:val="6B030D4C"/>
    <w:rsid w:val="6B2F0969"/>
    <w:rsid w:val="6B807383"/>
    <w:rsid w:val="6B961BC0"/>
    <w:rsid w:val="6BBD6062"/>
    <w:rsid w:val="6BE74E19"/>
    <w:rsid w:val="6BFD39ED"/>
    <w:rsid w:val="6C001E4A"/>
    <w:rsid w:val="6C0E785F"/>
    <w:rsid w:val="6C47110C"/>
    <w:rsid w:val="6CD37D36"/>
    <w:rsid w:val="6D6F26C8"/>
    <w:rsid w:val="6DF66946"/>
    <w:rsid w:val="6E18382A"/>
    <w:rsid w:val="6E201C15"/>
    <w:rsid w:val="6E2A65EF"/>
    <w:rsid w:val="6E5369C5"/>
    <w:rsid w:val="6E625D89"/>
    <w:rsid w:val="6EAE5472"/>
    <w:rsid w:val="6EBF6F4C"/>
    <w:rsid w:val="6EEA7B57"/>
    <w:rsid w:val="6F072F62"/>
    <w:rsid w:val="6FAE76E8"/>
    <w:rsid w:val="6FDA08EE"/>
    <w:rsid w:val="700239E9"/>
    <w:rsid w:val="70151CB4"/>
    <w:rsid w:val="705B0CE2"/>
    <w:rsid w:val="719641E7"/>
    <w:rsid w:val="71C92F88"/>
    <w:rsid w:val="71DB0B17"/>
    <w:rsid w:val="72271F3A"/>
    <w:rsid w:val="722E5ED1"/>
    <w:rsid w:val="72946F4B"/>
    <w:rsid w:val="72AD56B1"/>
    <w:rsid w:val="72C64E61"/>
    <w:rsid w:val="72D66D46"/>
    <w:rsid w:val="730829F7"/>
    <w:rsid w:val="73177C77"/>
    <w:rsid w:val="73641BFE"/>
    <w:rsid w:val="73903BDF"/>
    <w:rsid w:val="73B2330F"/>
    <w:rsid w:val="73D0382F"/>
    <w:rsid w:val="745C32DA"/>
    <w:rsid w:val="74624D35"/>
    <w:rsid w:val="74B66E2F"/>
    <w:rsid w:val="74CE6A7E"/>
    <w:rsid w:val="74EE6617"/>
    <w:rsid w:val="75135BC2"/>
    <w:rsid w:val="753A180E"/>
    <w:rsid w:val="756276E8"/>
    <w:rsid w:val="75734D20"/>
    <w:rsid w:val="75864A53"/>
    <w:rsid w:val="75B77661"/>
    <w:rsid w:val="760834D9"/>
    <w:rsid w:val="762129A3"/>
    <w:rsid w:val="7662101C"/>
    <w:rsid w:val="766528BB"/>
    <w:rsid w:val="768371E5"/>
    <w:rsid w:val="76BF43FB"/>
    <w:rsid w:val="76DB0DCF"/>
    <w:rsid w:val="780A196C"/>
    <w:rsid w:val="7860158C"/>
    <w:rsid w:val="788460D8"/>
    <w:rsid w:val="78B6564F"/>
    <w:rsid w:val="78EA354B"/>
    <w:rsid w:val="795B4B05"/>
    <w:rsid w:val="796D2967"/>
    <w:rsid w:val="79CD5CEC"/>
    <w:rsid w:val="7A592736"/>
    <w:rsid w:val="7A647D14"/>
    <w:rsid w:val="7AA240DD"/>
    <w:rsid w:val="7AA37E55"/>
    <w:rsid w:val="7AFD7D77"/>
    <w:rsid w:val="7B346CFF"/>
    <w:rsid w:val="7B3B7919"/>
    <w:rsid w:val="7B683833"/>
    <w:rsid w:val="7B6F7CF7"/>
    <w:rsid w:val="7C4B2B74"/>
    <w:rsid w:val="7C7A6994"/>
    <w:rsid w:val="7C804BFA"/>
    <w:rsid w:val="7C831CEC"/>
    <w:rsid w:val="7C89326C"/>
    <w:rsid w:val="7CC516EE"/>
    <w:rsid w:val="7CFF2A1E"/>
    <w:rsid w:val="7D013D1F"/>
    <w:rsid w:val="7D0746CC"/>
    <w:rsid w:val="7D1110A6"/>
    <w:rsid w:val="7D1E7D57"/>
    <w:rsid w:val="7D26648E"/>
    <w:rsid w:val="7D8904F4"/>
    <w:rsid w:val="7DB303AF"/>
    <w:rsid w:val="7E611BB9"/>
    <w:rsid w:val="7E7D73FF"/>
    <w:rsid w:val="7E9F0934"/>
    <w:rsid w:val="7EAF1C20"/>
    <w:rsid w:val="7EB51F05"/>
    <w:rsid w:val="7EB77390"/>
    <w:rsid w:val="7EBE700C"/>
    <w:rsid w:val="7EC9322B"/>
    <w:rsid w:val="7EEA6053"/>
    <w:rsid w:val="7EF70770"/>
    <w:rsid w:val="7EFC21B4"/>
    <w:rsid w:val="7F7003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2">
    <w:name w:val="heading 1"/>
    <w:basedOn w:val="1"/>
    <w:next w:val="3"/>
    <w:link w:val="20"/>
    <w:qFormat/>
    <w:uiPriority w:val="99"/>
    <w:pPr>
      <w:spacing w:before="159" w:after="153" w:line="554" w:lineRule="atLeast"/>
      <w:ind w:firstLine="0"/>
      <w:jc w:val="center"/>
      <w:outlineLvl w:val="0"/>
    </w:pPr>
    <w:rPr>
      <w:rFonts w:ascii="Arial" w:hAnsi="Arial" w:eastAsia="黑体" w:cs="Arial"/>
      <w:sz w:val="32"/>
      <w:szCs w:val="32"/>
    </w:rPr>
  </w:style>
  <w:style w:type="paragraph" w:styleId="3">
    <w:name w:val="heading 2"/>
    <w:basedOn w:val="1"/>
    <w:next w:val="4"/>
    <w:link w:val="21"/>
    <w:qFormat/>
    <w:uiPriority w:val="99"/>
    <w:pPr>
      <w:spacing w:line="519" w:lineRule="atLeast"/>
      <w:ind w:firstLine="0"/>
      <w:jc w:val="center"/>
      <w:outlineLvl w:val="1"/>
    </w:pPr>
    <w:rPr>
      <w:sz w:val="28"/>
      <w:szCs w:val="28"/>
    </w:rPr>
  </w:style>
  <w:style w:type="paragraph" w:styleId="4">
    <w:name w:val="heading 3"/>
    <w:basedOn w:val="1"/>
    <w:next w:val="1"/>
    <w:link w:val="22"/>
    <w:qFormat/>
    <w:uiPriority w:val="99"/>
    <w:pPr>
      <w:spacing w:before="176" w:after="102"/>
      <w:ind w:firstLine="0"/>
      <w:outlineLvl w:val="2"/>
    </w:pPr>
    <w:rPr>
      <w:rFonts w:eastAsia="黑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qFormat/>
    <w:uiPriority w:val="99"/>
    <w:pPr>
      <w:spacing w:line="548" w:lineRule="atLeast"/>
    </w:pPr>
  </w:style>
  <w:style w:type="paragraph" w:styleId="6">
    <w:name w:val="Date"/>
    <w:basedOn w:val="1"/>
    <w:next w:val="1"/>
    <w:link w:val="23"/>
    <w:qFormat/>
    <w:uiPriority w:val="99"/>
    <w:pPr>
      <w:ind w:left="100" w:leftChars="2500"/>
    </w:p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semiHidden/>
    <w:qFormat/>
    <w:uiPriority w:val="99"/>
    <w:pPr>
      <w:spacing w:after="136" w:line="519" w:lineRule="atLeast"/>
      <w:ind w:firstLine="0"/>
      <w:jc w:val="left"/>
    </w:pPr>
    <w:rPr>
      <w:rFonts w:ascii="Arial" w:hAnsi="Arial" w:eastAsia="黑体" w:cs="Arial"/>
      <w:sz w:val="28"/>
      <w:szCs w:val="28"/>
    </w:rPr>
  </w:style>
  <w:style w:type="paragraph" w:styleId="10">
    <w:name w:val="toc 4"/>
    <w:basedOn w:val="1"/>
    <w:next w:val="1"/>
    <w:semiHidden/>
    <w:qFormat/>
    <w:uiPriority w:val="99"/>
    <w:pPr>
      <w:spacing w:line="548" w:lineRule="atLeast"/>
      <w:ind w:firstLine="630"/>
    </w:pPr>
  </w:style>
  <w:style w:type="paragraph" w:styleId="11">
    <w:name w:val="toc 2"/>
    <w:basedOn w:val="1"/>
    <w:next w:val="1"/>
    <w:semiHidden/>
    <w:qFormat/>
    <w:uiPriority w:val="99"/>
    <w:pPr>
      <w:spacing w:line="548" w:lineRule="atLeast"/>
      <w:ind w:firstLine="210"/>
    </w:pPr>
  </w:style>
  <w:style w:type="paragraph" w:styleId="12">
    <w:name w:val="Normal (Web)"/>
    <w:basedOn w:val="1"/>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3">
    <w:name w:val="Title"/>
    <w:basedOn w:val="1"/>
    <w:next w:val="14"/>
    <w:link w:val="26"/>
    <w:qFormat/>
    <w:uiPriority w:val="99"/>
    <w:pPr>
      <w:spacing w:before="567" w:after="545" w:line="808" w:lineRule="atLeast"/>
      <w:ind w:firstLine="0"/>
      <w:jc w:val="center"/>
    </w:pPr>
    <w:rPr>
      <w:rFonts w:ascii="Arial" w:hAnsi="Arial" w:eastAsia="黑体" w:cs="Arial"/>
      <w:sz w:val="52"/>
      <w:szCs w:val="52"/>
    </w:rPr>
  </w:style>
  <w:style w:type="paragraph" w:customStyle="1" w:styleId="14">
    <w:name w:val="文章副标题"/>
    <w:basedOn w:val="1"/>
    <w:next w:val="2"/>
    <w:qFormat/>
    <w:uiPriority w:val="99"/>
    <w:pPr>
      <w:spacing w:before="104" w:after="104" w:line="240" w:lineRule="atLeast"/>
      <w:ind w:firstLine="0"/>
      <w:jc w:val="center"/>
    </w:pPr>
    <w:rPr>
      <w:sz w:val="36"/>
      <w:szCs w:val="36"/>
    </w:rPr>
  </w:style>
  <w:style w:type="character" w:styleId="17">
    <w:name w:val="Strong"/>
    <w:basedOn w:val="16"/>
    <w:qFormat/>
    <w:uiPriority w:val="22"/>
    <w:rPr>
      <w:b/>
      <w:bCs/>
    </w:rPr>
  </w:style>
  <w:style w:type="character" w:styleId="18">
    <w:name w:val="page number"/>
    <w:basedOn w:val="16"/>
    <w:qFormat/>
    <w:uiPriority w:val="99"/>
    <w:rPr>
      <w:rFonts w:cs="Times New Roman"/>
    </w:rPr>
  </w:style>
  <w:style w:type="character" w:styleId="19">
    <w:name w:val="Hyperlink"/>
    <w:basedOn w:val="16"/>
    <w:qFormat/>
    <w:uiPriority w:val="99"/>
    <w:rPr>
      <w:rFonts w:cs="Times New Roman"/>
      <w:color w:val="0000FF"/>
      <w:u w:val="single"/>
    </w:rPr>
  </w:style>
  <w:style w:type="character" w:customStyle="1" w:styleId="20">
    <w:name w:val="标题 1 Char"/>
    <w:basedOn w:val="16"/>
    <w:link w:val="2"/>
    <w:qFormat/>
    <w:locked/>
    <w:uiPriority w:val="99"/>
    <w:rPr>
      <w:rFonts w:cs="Times New Roman"/>
      <w:b/>
      <w:bCs/>
      <w:color w:val="000000"/>
      <w:kern w:val="44"/>
      <w:sz w:val="44"/>
      <w:szCs w:val="44"/>
    </w:rPr>
  </w:style>
  <w:style w:type="character" w:customStyle="1" w:styleId="21">
    <w:name w:val="标题 2 Char"/>
    <w:basedOn w:val="16"/>
    <w:link w:val="3"/>
    <w:semiHidden/>
    <w:qFormat/>
    <w:locked/>
    <w:uiPriority w:val="99"/>
    <w:rPr>
      <w:rFonts w:ascii="Cambria" w:hAnsi="Cambria" w:eastAsia="宋体" w:cs="Cambria"/>
      <w:b/>
      <w:bCs/>
      <w:color w:val="000000"/>
      <w:kern w:val="0"/>
      <w:sz w:val="32"/>
      <w:szCs w:val="32"/>
    </w:rPr>
  </w:style>
  <w:style w:type="character" w:customStyle="1" w:styleId="22">
    <w:name w:val="标题 3 Char"/>
    <w:basedOn w:val="16"/>
    <w:link w:val="4"/>
    <w:semiHidden/>
    <w:qFormat/>
    <w:locked/>
    <w:uiPriority w:val="99"/>
    <w:rPr>
      <w:rFonts w:cs="Times New Roman"/>
      <w:b/>
      <w:bCs/>
      <w:color w:val="000000"/>
      <w:kern w:val="0"/>
      <w:sz w:val="32"/>
      <w:szCs w:val="32"/>
    </w:rPr>
  </w:style>
  <w:style w:type="character" w:customStyle="1" w:styleId="23">
    <w:name w:val="日期 Char"/>
    <w:basedOn w:val="16"/>
    <w:link w:val="6"/>
    <w:semiHidden/>
    <w:qFormat/>
    <w:locked/>
    <w:uiPriority w:val="99"/>
    <w:rPr>
      <w:rFonts w:cs="Times New Roman"/>
      <w:color w:val="000000"/>
      <w:kern w:val="0"/>
      <w:sz w:val="20"/>
      <w:szCs w:val="20"/>
    </w:rPr>
  </w:style>
  <w:style w:type="character" w:customStyle="1" w:styleId="24">
    <w:name w:val="页脚 Char"/>
    <w:basedOn w:val="16"/>
    <w:link w:val="7"/>
    <w:semiHidden/>
    <w:qFormat/>
    <w:locked/>
    <w:uiPriority w:val="99"/>
    <w:rPr>
      <w:rFonts w:cs="Times New Roman"/>
      <w:color w:val="000000"/>
      <w:kern w:val="0"/>
      <w:sz w:val="18"/>
      <w:szCs w:val="18"/>
    </w:rPr>
  </w:style>
  <w:style w:type="character" w:customStyle="1" w:styleId="25">
    <w:name w:val="页眉 Char"/>
    <w:basedOn w:val="16"/>
    <w:link w:val="8"/>
    <w:semiHidden/>
    <w:qFormat/>
    <w:locked/>
    <w:uiPriority w:val="99"/>
    <w:rPr>
      <w:rFonts w:cs="Times New Roman"/>
      <w:color w:val="000000"/>
      <w:kern w:val="0"/>
      <w:sz w:val="18"/>
      <w:szCs w:val="18"/>
    </w:rPr>
  </w:style>
  <w:style w:type="character" w:customStyle="1" w:styleId="26">
    <w:name w:val="标题 Char"/>
    <w:basedOn w:val="16"/>
    <w:link w:val="13"/>
    <w:qFormat/>
    <w:locked/>
    <w:uiPriority w:val="99"/>
    <w:rPr>
      <w:rFonts w:ascii="Cambria" w:hAnsi="Cambria" w:cs="Cambria"/>
      <w:b/>
      <w:bCs/>
      <w:color w:val="000000"/>
      <w:kern w:val="0"/>
      <w:sz w:val="32"/>
      <w:szCs w:val="32"/>
    </w:rPr>
  </w:style>
  <w:style w:type="character" w:customStyle="1" w:styleId="27">
    <w:name w:val="默认段落字体 Char"/>
    <w:qFormat/>
    <w:uiPriority w:val="99"/>
    <w:rPr>
      <w:rFonts w:ascii="Times New Roman" w:hAnsi="Times New Roman" w:eastAsia="宋体"/>
      <w:color w:val="000000"/>
      <w:spacing w:val="0"/>
      <w:w w:val="100"/>
      <w:sz w:val="21"/>
      <w:vertAlign w:val="baseline"/>
    </w:rPr>
  </w:style>
  <w:style w:type="character" w:customStyle="1" w:styleId="28">
    <w:name w:val="链接"/>
    <w:basedOn w:val="16"/>
    <w:qFormat/>
    <w:uiPriority w:val="99"/>
    <w:rPr>
      <w:rFonts w:ascii="Times New Roman" w:hAnsi="Times New Roman" w:eastAsia="宋体" w:cs="Times New Roman"/>
      <w:color w:val="0000FF"/>
      <w:sz w:val="21"/>
      <w:szCs w:val="21"/>
      <w:u w:val="single" w:color="0000FF"/>
      <w:vertAlign w:val="baseline"/>
    </w:rPr>
  </w:style>
  <w:style w:type="character" w:customStyle="1" w:styleId="29">
    <w:name w:val="超级链接"/>
    <w:basedOn w:val="27"/>
    <w:qFormat/>
    <w:uiPriority w:val="99"/>
    <w:rPr>
      <w:rFonts w:cs="Times New Roman"/>
      <w:color w:val="0000FF"/>
      <w:szCs w:val="21"/>
      <w:u w:val="single" w:color="0000FF"/>
    </w:rPr>
  </w:style>
  <w:style w:type="paragraph" w:customStyle="1" w:styleId="30">
    <w:name w:val="WPS Plain"/>
    <w:qFormat/>
    <w:uiPriority w:val="99"/>
    <w:rPr>
      <w:rFonts w:ascii="Times New Roman" w:hAnsi="Times New Roman" w:eastAsia="宋体" w:cs="Times New Roman"/>
      <w:lang w:val="en-US" w:eastAsia="zh-CN" w:bidi="ar-SA"/>
    </w:rPr>
  </w:style>
  <w:style w:type="paragraph" w:customStyle="1" w:styleId="31">
    <w:name w:val="普通表格1"/>
    <w:qFormat/>
    <w:uiPriority w:val="99"/>
    <w:rPr>
      <w:rFonts w:ascii="Times New Roman" w:hAnsi="Times New Roman" w:eastAsia="宋体" w:cs="Times New Roman"/>
      <w:lang w:val="en-US" w:eastAsia="zh-CN" w:bidi="ar-SA"/>
    </w:rPr>
  </w:style>
  <w:style w:type="paragraph" w:customStyle="1" w:styleId="32">
    <w:name w:val="目录标题"/>
    <w:basedOn w:val="1"/>
    <w:next w:val="1"/>
    <w:qFormat/>
    <w:uiPriority w:val="99"/>
    <w:pPr>
      <w:spacing w:before="567" w:after="545" w:line="808" w:lineRule="atLeast"/>
      <w:jc w:val="center"/>
    </w:pPr>
    <w:rPr>
      <w:rFonts w:ascii="Arial" w:hAnsi="Arial" w:eastAsia="黑体" w:cs="Arial"/>
      <w:spacing w:val="283"/>
      <w:sz w:val="52"/>
      <w:szCs w:val="52"/>
    </w:rPr>
  </w:style>
  <w:style w:type="paragraph" w:customStyle="1" w:styleId="33">
    <w:name w:val="无列表1"/>
    <w:qFormat/>
    <w:uiPriority w:val="99"/>
    <w:rPr>
      <w:rFonts w:ascii="Times New Roman" w:hAnsi="Times New Roman" w:eastAsia="宋体" w:cs="Times New Roman"/>
      <w:lang w:val="en-US" w:eastAsia="zh-CN" w:bidi="ar-SA"/>
    </w:rPr>
  </w:style>
  <w:style w:type="paragraph" w:customStyle="1" w:styleId="34">
    <w:name w:val="0"/>
    <w:basedOn w:val="1"/>
    <w:qFormat/>
    <w:uiPriority w:val="99"/>
    <w:pPr>
      <w:widowControl/>
      <w:snapToGrid w:val="0"/>
      <w:spacing w:line="240" w:lineRule="auto"/>
      <w:ind w:left="0" w:firstLine="0"/>
      <w:textAlignment w:val="auto"/>
    </w:pPr>
    <w:rPr>
      <w:color w:val="auto"/>
    </w:rPr>
  </w:style>
  <w:style w:type="paragraph" w:customStyle="1" w:styleId="35">
    <w:name w:val="文章附标题"/>
    <w:basedOn w:val="1"/>
    <w:qFormat/>
    <w:uiPriority w:val="99"/>
    <w:pPr>
      <w:spacing w:before="187" w:after="176" w:line="607" w:lineRule="atLeast"/>
      <w:ind w:firstLine="0"/>
      <w:jc w:val="center"/>
    </w:pPr>
    <w:rPr>
      <w:sz w:val="36"/>
      <w:szCs w:val="36"/>
    </w:rPr>
  </w:style>
  <w:style w:type="paragraph" w:styleId="36">
    <w:name w:val="List Paragraph"/>
    <w:basedOn w:val="1"/>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98810-EC79-46DD-BFC0-1997FCBF0E0E}">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20</Pages>
  <Words>10306</Words>
  <Characters>11643</Characters>
  <Lines>41</Lines>
  <Paragraphs>11</Paragraphs>
  <TotalTime>97</TotalTime>
  <ScaleCrop>false</ScaleCrop>
  <LinksUpToDate>false</LinksUpToDate>
  <CharactersWithSpaces>11689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2023-11-21T01:16:00Z</cp:lastPrinted>
  <dcterms:modified xsi:type="dcterms:W3CDTF">2023-11-21T03:16:49Z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4B795595158E4D1A92FCE01669C794EC_13</vt:lpwstr>
  </property>
</Properties>
</file>