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b/>
          <w:bCs/>
          <w:color w:val="000000" w:themeColor="text1"/>
          <w:sz w:val="44"/>
          <w:szCs w:val="44"/>
          <w14:textFill>
            <w14:solidFill>
              <w14:schemeClr w14:val="tx1"/>
            </w14:solidFill>
          </w14:textFill>
        </w:rPr>
      </w:pPr>
    </w:p>
    <w:p>
      <w:pPr>
        <w:spacing w:line="560" w:lineRule="exact"/>
        <w:ind w:left="0"/>
        <w:jc w:val="center"/>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乌海市公共资源交易中心</w:t>
      </w:r>
    </w:p>
    <w:p>
      <w:pPr>
        <w:spacing w:line="560" w:lineRule="exact"/>
        <w:ind w:left="0"/>
        <w:jc w:val="center"/>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国有土地使用权挂牌出让公告</w:t>
      </w:r>
    </w:p>
    <w:p>
      <w:pPr>
        <w:jc w:val="center"/>
        <w:rPr>
          <w:rFonts w:ascii="仿宋" w:hAnsi="仿宋" w:eastAsia="仿宋"/>
          <w:bCs/>
          <w:color w:val="auto"/>
          <w:sz w:val="32"/>
          <w:szCs w:val="32"/>
          <w:highlight w:val="none"/>
        </w:rPr>
      </w:pPr>
      <w:r>
        <w:rPr>
          <w:rFonts w:hint="eastAsia" w:ascii="仿宋" w:hAnsi="仿宋" w:eastAsia="仿宋" w:cs="仿宋"/>
          <w:bCs/>
          <w:color w:val="auto"/>
          <w:sz w:val="32"/>
          <w:szCs w:val="32"/>
          <w:highlight w:val="none"/>
        </w:rPr>
        <w:t>乌资交挂字〔</w:t>
      </w:r>
      <w:r>
        <w:rPr>
          <w:rFonts w:ascii="仿宋" w:hAnsi="仿宋" w:eastAsia="仿宋" w:cs="仿宋"/>
          <w:bCs/>
          <w:color w:val="auto"/>
          <w:sz w:val="32"/>
          <w:szCs w:val="32"/>
          <w:highlight w:val="none"/>
        </w:rPr>
        <w:t>202</w:t>
      </w:r>
      <w:r>
        <w:rPr>
          <w:rFonts w:hint="eastAsia" w:ascii="仿宋" w:hAnsi="仿宋" w:eastAsia="仿宋" w:cs="仿宋"/>
          <w:bCs/>
          <w:color w:val="auto"/>
          <w:sz w:val="32"/>
          <w:szCs w:val="32"/>
          <w:highlight w:val="none"/>
          <w:lang w:val="en-US" w:eastAsia="zh-CN"/>
        </w:rPr>
        <w:t>3</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val="en-US" w:eastAsia="zh-CN"/>
        </w:rPr>
        <w:t>48</w:t>
      </w:r>
      <w:r>
        <w:rPr>
          <w:rFonts w:hint="eastAsia" w:ascii="仿宋" w:hAnsi="仿宋" w:eastAsia="仿宋" w:cs="仿宋"/>
          <w:bCs/>
          <w:color w:val="auto"/>
          <w:sz w:val="32"/>
          <w:szCs w:val="32"/>
          <w:highlight w:val="none"/>
        </w:rPr>
        <w:t>号</w:t>
      </w:r>
    </w:p>
    <w:p>
      <w:pPr>
        <w:spacing w:line="560" w:lineRule="exact"/>
        <w:ind w:left="0" w:firstLine="643" w:firstLineChars="200"/>
        <w:jc w:val="center"/>
        <w:rPr>
          <w:rFonts w:asciiTheme="minorEastAsia" w:hAnsiTheme="minorEastAsia" w:eastAsiaTheme="minorEastAsia"/>
          <w:b/>
          <w:bCs/>
          <w:color w:val="auto"/>
          <w:sz w:val="32"/>
          <w:szCs w:val="32"/>
        </w:rPr>
      </w:pPr>
    </w:p>
    <w:p>
      <w:pPr>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cs="FangSong_GB2312"/>
          <w:color w:val="auto"/>
          <w:sz w:val="32"/>
          <w:szCs w:val="32"/>
        </w:rPr>
        <w:t>经乌海市人民政府批准，乌海市自然资源局</w:t>
      </w:r>
      <w:r>
        <w:rPr>
          <w:rFonts w:hint="eastAsia" w:ascii="仿宋" w:hAnsi="仿宋" w:eastAsia="仿宋" w:cs="FangSong_GB2312"/>
          <w:color w:val="auto"/>
          <w:sz w:val="32"/>
          <w:szCs w:val="32"/>
          <w:lang w:eastAsia="zh-CN"/>
        </w:rPr>
        <w:t>低碳产业园区</w:t>
      </w:r>
      <w:r>
        <w:rPr>
          <w:rFonts w:hint="eastAsia" w:ascii="仿宋" w:hAnsi="仿宋" w:eastAsia="仿宋" w:cs="FangSong_GB2312"/>
          <w:color w:val="auto"/>
          <w:sz w:val="32"/>
          <w:szCs w:val="32"/>
        </w:rPr>
        <w:t>分局以挂牌方式出让</w:t>
      </w:r>
      <w:r>
        <w:rPr>
          <w:rFonts w:hint="eastAsia" w:ascii="仿宋" w:hAnsi="仿宋" w:eastAsia="仿宋" w:cs="FangSong_GB2312"/>
          <w:color w:val="auto"/>
          <w:sz w:val="32"/>
          <w:szCs w:val="32"/>
          <w:lang w:val="en-US" w:eastAsia="zh-CN"/>
        </w:rPr>
        <w:t>4</w:t>
      </w:r>
      <w:r>
        <w:rPr>
          <w:rFonts w:hint="eastAsia" w:ascii="仿宋" w:hAnsi="仿宋" w:eastAsia="仿宋" w:cs="FangSong_GB2312"/>
          <w:color w:val="auto"/>
          <w:sz w:val="32"/>
          <w:szCs w:val="32"/>
        </w:rPr>
        <w:t>宗地块的国有建设用地使用权，现将有关事项公告如下：</w:t>
      </w:r>
    </w:p>
    <w:p>
      <w:pPr>
        <w:numPr>
          <w:ilvl w:val="0"/>
          <w:numId w:val="1"/>
        </w:numPr>
        <w:spacing w:line="560" w:lineRule="exact"/>
        <w:ind w:left="0" w:firstLine="640" w:firstLineChars="200"/>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宗地基本情况和规划要求：</w:t>
      </w:r>
    </w:p>
    <w:tbl>
      <w:tblPr>
        <w:tblStyle w:val="15"/>
        <w:tblW w:w="114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2"/>
        <w:gridCol w:w="742"/>
        <w:gridCol w:w="883"/>
        <w:gridCol w:w="1059"/>
        <w:gridCol w:w="655"/>
        <w:gridCol w:w="618"/>
        <w:gridCol w:w="756"/>
        <w:gridCol w:w="630"/>
        <w:gridCol w:w="807"/>
        <w:gridCol w:w="794"/>
        <w:gridCol w:w="630"/>
        <w:gridCol w:w="996"/>
        <w:gridCol w:w="996"/>
        <w:gridCol w:w="16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 w:hRule="exact"/>
          <w:jc w:val="center"/>
        </w:trPr>
        <w:tc>
          <w:tcPr>
            <w:tcW w:w="262" w:type="dxa"/>
            <w:vMerge w:val="restart"/>
            <w:vAlign w:val="center"/>
          </w:tcPr>
          <w:p>
            <w:pPr>
              <w:pStyle w:val="30"/>
              <w:spacing w:line="28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序号</w:t>
            </w:r>
          </w:p>
        </w:tc>
        <w:tc>
          <w:tcPr>
            <w:tcW w:w="742" w:type="dxa"/>
            <w:vMerge w:val="restart"/>
            <w:vAlign w:val="center"/>
          </w:tcPr>
          <w:p>
            <w:pPr>
              <w:pStyle w:val="30"/>
              <w:spacing w:line="28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编号</w:t>
            </w:r>
          </w:p>
        </w:tc>
        <w:tc>
          <w:tcPr>
            <w:tcW w:w="883" w:type="dxa"/>
            <w:vMerge w:val="restart"/>
            <w:vAlign w:val="center"/>
          </w:tcPr>
          <w:p>
            <w:pPr>
              <w:spacing w:line="300" w:lineRule="exact"/>
              <w:ind w:left="0" w:firstLine="0"/>
              <w:jc w:val="center"/>
              <w:rPr>
                <w:rFonts w:hint="eastAsia" w:ascii="仿宋" w:hAnsi="仿宋" w:eastAsia="仿宋"/>
                <w:color w:val="auto"/>
                <w:sz w:val="18"/>
                <w:szCs w:val="18"/>
              </w:rPr>
            </w:pPr>
            <w:r>
              <w:rPr>
                <w:rFonts w:hint="eastAsia" w:ascii="仿宋" w:hAnsi="仿宋" w:eastAsia="仿宋"/>
                <w:color w:val="auto"/>
                <w:sz w:val="18"/>
                <w:szCs w:val="18"/>
              </w:rPr>
              <w:t>土地位置</w:t>
            </w:r>
          </w:p>
        </w:tc>
        <w:tc>
          <w:tcPr>
            <w:tcW w:w="1059" w:type="dxa"/>
            <w:vMerge w:val="restart"/>
            <w:vAlign w:val="center"/>
          </w:tcPr>
          <w:p>
            <w:pPr>
              <w:spacing w:line="280" w:lineRule="exact"/>
              <w:ind w:left="0" w:firstLine="0"/>
              <w:jc w:val="center"/>
              <w:rPr>
                <w:rFonts w:ascii="仿宋" w:hAnsi="仿宋" w:eastAsia="仿宋"/>
                <w:b/>
                <w:bCs/>
                <w:color w:val="auto"/>
                <w:sz w:val="18"/>
                <w:szCs w:val="18"/>
              </w:rPr>
            </w:pPr>
            <w:r>
              <w:rPr>
                <w:rFonts w:hint="eastAsia" w:ascii="仿宋" w:hAnsi="仿宋" w:eastAsia="仿宋" w:cs="FangSong_GB2312falt"/>
                <w:b/>
                <w:bCs/>
                <w:color w:val="auto"/>
                <w:sz w:val="18"/>
                <w:szCs w:val="18"/>
              </w:rPr>
              <w:t>土地面积</w:t>
            </w:r>
            <w:r>
              <w:rPr>
                <w:rFonts w:ascii="仿宋" w:hAnsi="仿宋" w:eastAsia="仿宋" w:cs="FangSong_GB2312falt"/>
                <w:b/>
                <w:bCs/>
                <w:color w:val="auto"/>
                <w:sz w:val="18"/>
                <w:szCs w:val="18"/>
              </w:rPr>
              <w:t>(m</w:t>
            </w:r>
            <w:r>
              <w:rPr>
                <w:rFonts w:ascii="仿宋" w:hAnsi="仿宋" w:eastAsia="仿宋" w:cs="FangSong_GB2312falt"/>
                <w:b/>
                <w:bCs/>
                <w:color w:val="auto"/>
                <w:sz w:val="18"/>
                <w:szCs w:val="18"/>
                <w:vertAlign w:val="superscript"/>
              </w:rPr>
              <w:t>2</w:t>
            </w:r>
            <w:r>
              <w:rPr>
                <w:rFonts w:hint="eastAsia" w:ascii="仿宋" w:hAnsi="仿宋" w:eastAsia="仿宋" w:cs="FangSong_GB2312falt"/>
                <w:b/>
                <w:bCs/>
                <w:color w:val="auto"/>
                <w:sz w:val="18"/>
                <w:szCs w:val="18"/>
              </w:rPr>
              <w:t>）</w:t>
            </w:r>
          </w:p>
        </w:tc>
        <w:tc>
          <w:tcPr>
            <w:tcW w:w="655" w:type="dxa"/>
            <w:vMerge w:val="restart"/>
            <w:vAlign w:val="center"/>
          </w:tcPr>
          <w:p>
            <w:pPr>
              <w:spacing w:line="280" w:lineRule="exact"/>
              <w:ind w:left="0" w:firstLine="0"/>
              <w:jc w:val="center"/>
              <w:rPr>
                <w:rFonts w:hint="eastAsia" w:ascii="仿宋" w:hAnsi="仿宋" w:eastAsia="仿宋" w:cs="FangSong_GB2312falt"/>
                <w:b/>
                <w:bCs/>
                <w:color w:val="auto"/>
                <w:sz w:val="18"/>
                <w:szCs w:val="18"/>
                <w:lang w:val="en-US" w:eastAsia="zh-CN"/>
              </w:rPr>
            </w:pPr>
            <w:r>
              <w:rPr>
                <w:rFonts w:hint="eastAsia" w:ascii="仿宋" w:hAnsi="仿宋" w:eastAsia="仿宋" w:cs="FangSong_GB2312falt"/>
                <w:b/>
                <w:bCs/>
                <w:color w:val="auto"/>
                <w:sz w:val="18"/>
                <w:szCs w:val="18"/>
                <w:lang w:val="en-US" w:eastAsia="zh-CN"/>
              </w:rPr>
              <w:t>土地</w:t>
            </w:r>
          </w:p>
          <w:p>
            <w:pPr>
              <w:spacing w:line="280" w:lineRule="exact"/>
              <w:ind w:left="0" w:firstLine="0"/>
              <w:jc w:val="center"/>
              <w:rPr>
                <w:rFonts w:hint="eastAsia" w:ascii="仿宋" w:hAnsi="仿宋" w:eastAsia="仿宋"/>
                <w:color w:val="auto"/>
                <w:sz w:val="18"/>
                <w:szCs w:val="18"/>
                <w:lang w:val="en-US" w:eastAsia="zh-CN"/>
              </w:rPr>
            </w:pPr>
            <w:r>
              <w:rPr>
                <w:rFonts w:hint="eastAsia" w:ascii="仿宋" w:hAnsi="仿宋" w:eastAsia="仿宋" w:cs="FangSong_GB2312falt"/>
                <w:b/>
                <w:bCs/>
                <w:color w:val="auto"/>
                <w:sz w:val="18"/>
                <w:szCs w:val="18"/>
                <w:lang w:val="en-US" w:eastAsia="zh-CN"/>
              </w:rPr>
              <w:t>用途</w:t>
            </w:r>
          </w:p>
        </w:tc>
        <w:tc>
          <w:tcPr>
            <w:tcW w:w="2811" w:type="dxa"/>
            <w:gridSpan w:val="4"/>
            <w:tcBorders>
              <w:right w:val="single" w:color="auto" w:sz="4" w:space="0"/>
            </w:tcBorders>
          </w:tcPr>
          <w:p>
            <w:pPr>
              <w:pStyle w:val="30"/>
              <w:spacing w:line="240" w:lineRule="exact"/>
              <w:jc w:val="center"/>
              <w:textAlignment w:val="center"/>
              <w:rPr>
                <w:rFonts w:hint="eastAsia" w:ascii="仿宋" w:hAnsi="仿宋" w:eastAsia="仿宋" w:cs="FangSong_GB2312falt"/>
                <w:b/>
                <w:bCs/>
                <w:color w:val="auto"/>
                <w:sz w:val="18"/>
                <w:szCs w:val="18"/>
              </w:rPr>
            </w:pPr>
            <w:r>
              <w:rPr>
                <w:rFonts w:hint="eastAsia" w:ascii="仿宋" w:hAnsi="仿宋" w:eastAsia="仿宋" w:cs="FangSong_GB2312falt"/>
                <w:b/>
                <w:bCs/>
                <w:color w:val="auto"/>
                <w:sz w:val="18"/>
                <w:szCs w:val="18"/>
              </w:rPr>
              <w:t>规划指标要求</w:t>
            </w:r>
          </w:p>
        </w:tc>
        <w:tc>
          <w:tcPr>
            <w:tcW w:w="794" w:type="dxa"/>
            <w:tcBorders>
              <w:left w:val="single" w:color="auto" w:sz="4" w:space="0"/>
              <w:right w:val="single" w:color="auto" w:sz="4" w:space="0"/>
            </w:tcBorders>
            <w:vAlign w:val="center"/>
          </w:tcPr>
          <w:p>
            <w:pPr>
              <w:pStyle w:val="30"/>
              <w:spacing w:line="240" w:lineRule="exact"/>
              <w:jc w:val="center"/>
              <w:textAlignment w:val="center"/>
              <w:rPr>
                <w:rFonts w:hint="eastAsia" w:ascii="仿宋" w:hAnsi="仿宋" w:eastAsia="仿宋" w:cs="FangSong_GB2312falt"/>
                <w:b/>
                <w:bCs/>
                <w:color w:val="auto"/>
                <w:sz w:val="18"/>
                <w:szCs w:val="18"/>
              </w:rPr>
            </w:pPr>
          </w:p>
        </w:tc>
        <w:tc>
          <w:tcPr>
            <w:tcW w:w="630" w:type="dxa"/>
            <w:vMerge w:val="restart"/>
            <w:tcBorders>
              <w:left w:val="single" w:color="auto" w:sz="4" w:space="0"/>
              <w:right w:val="single" w:color="auto" w:sz="4" w:space="0"/>
            </w:tcBorders>
            <w:vAlign w:val="center"/>
          </w:tcPr>
          <w:p>
            <w:pPr>
              <w:pStyle w:val="30"/>
              <w:spacing w:line="24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出让</w:t>
            </w:r>
          </w:p>
          <w:p>
            <w:pPr>
              <w:pStyle w:val="30"/>
              <w:spacing w:line="24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年限（年）</w:t>
            </w:r>
          </w:p>
        </w:tc>
        <w:tc>
          <w:tcPr>
            <w:tcW w:w="996" w:type="dxa"/>
            <w:vMerge w:val="restart"/>
            <w:tcBorders>
              <w:left w:val="single" w:color="auto" w:sz="4" w:space="0"/>
              <w:right w:val="single" w:color="auto" w:sz="4" w:space="0"/>
            </w:tcBorders>
            <w:vAlign w:val="center"/>
          </w:tcPr>
          <w:p>
            <w:pPr>
              <w:pStyle w:val="30"/>
              <w:spacing w:line="28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起挂价</w:t>
            </w:r>
          </w:p>
          <w:p>
            <w:pPr>
              <w:spacing w:line="280" w:lineRule="exact"/>
              <w:ind w:left="0" w:firstLine="0"/>
              <w:jc w:val="center"/>
              <w:rPr>
                <w:rFonts w:ascii="仿宋" w:hAnsi="仿宋" w:eastAsia="仿宋"/>
                <w:b/>
                <w:bCs/>
                <w:color w:val="auto"/>
                <w:sz w:val="18"/>
                <w:szCs w:val="18"/>
              </w:rPr>
            </w:pPr>
            <w:r>
              <w:rPr>
                <w:rFonts w:ascii="仿宋" w:hAnsi="仿宋" w:eastAsia="仿宋" w:cs="FangSong_GB2312falt"/>
                <w:b/>
                <w:bCs/>
                <w:color w:val="auto"/>
                <w:sz w:val="18"/>
                <w:szCs w:val="18"/>
              </w:rPr>
              <w:t>(</w:t>
            </w:r>
            <w:r>
              <w:rPr>
                <w:rFonts w:hint="eastAsia" w:ascii="仿宋" w:hAnsi="仿宋" w:eastAsia="仿宋" w:cs="FangSong_GB2312falt"/>
                <w:b/>
                <w:bCs/>
                <w:color w:val="auto"/>
                <w:sz w:val="18"/>
                <w:szCs w:val="18"/>
              </w:rPr>
              <w:t>万元</w:t>
            </w:r>
            <w:r>
              <w:rPr>
                <w:rFonts w:ascii="仿宋" w:hAnsi="仿宋" w:eastAsia="仿宋" w:cs="FangSong_GB2312falt"/>
                <w:b/>
                <w:bCs/>
                <w:color w:val="auto"/>
                <w:sz w:val="18"/>
                <w:szCs w:val="18"/>
              </w:rPr>
              <w:t>)</w:t>
            </w:r>
          </w:p>
        </w:tc>
        <w:tc>
          <w:tcPr>
            <w:tcW w:w="996" w:type="dxa"/>
            <w:vMerge w:val="restart"/>
            <w:tcBorders>
              <w:left w:val="single" w:color="auto" w:sz="4" w:space="0"/>
              <w:right w:val="single" w:color="auto" w:sz="4" w:space="0"/>
            </w:tcBorders>
            <w:vAlign w:val="center"/>
          </w:tcPr>
          <w:p>
            <w:pPr>
              <w:pStyle w:val="30"/>
              <w:spacing w:line="28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保证金</w:t>
            </w:r>
          </w:p>
          <w:p>
            <w:pPr>
              <w:spacing w:line="280" w:lineRule="exact"/>
              <w:ind w:left="0" w:firstLine="0"/>
              <w:jc w:val="center"/>
              <w:rPr>
                <w:rFonts w:ascii="仿宋" w:hAnsi="仿宋" w:eastAsia="仿宋"/>
                <w:b/>
                <w:bCs/>
                <w:color w:val="auto"/>
                <w:sz w:val="18"/>
                <w:szCs w:val="18"/>
              </w:rPr>
            </w:pPr>
            <w:r>
              <w:rPr>
                <w:rFonts w:ascii="仿宋" w:hAnsi="仿宋" w:eastAsia="仿宋" w:cs="FangSong_GB2312falt"/>
                <w:b/>
                <w:bCs/>
                <w:color w:val="auto"/>
                <w:sz w:val="18"/>
                <w:szCs w:val="18"/>
              </w:rPr>
              <w:t>(</w:t>
            </w:r>
            <w:r>
              <w:rPr>
                <w:rFonts w:hint="eastAsia" w:ascii="仿宋" w:hAnsi="仿宋" w:eastAsia="仿宋" w:cs="FangSong_GB2312falt"/>
                <w:b/>
                <w:bCs/>
                <w:color w:val="auto"/>
                <w:sz w:val="18"/>
                <w:szCs w:val="18"/>
              </w:rPr>
              <w:t>万元</w:t>
            </w:r>
            <w:r>
              <w:rPr>
                <w:rFonts w:ascii="仿宋" w:hAnsi="仿宋" w:eastAsia="仿宋" w:cs="FangSong_GB2312falt"/>
                <w:b/>
                <w:bCs/>
                <w:color w:val="auto"/>
                <w:sz w:val="18"/>
                <w:szCs w:val="18"/>
              </w:rPr>
              <w:t>)</w:t>
            </w:r>
          </w:p>
        </w:tc>
        <w:tc>
          <w:tcPr>
            <w:tcW w:w="1646" w:type="dxa"/>
            <w:vMerge w:val="restart"/>
            <w:tcBorders>
              <w:left w:val="single" w:color="auto" w:sz="4" w:space="0"/>
              <w:right w:val="single" w:color="auto" w:sz="4" w:space="0"/>
            </w:tcBorders>
            <w:vAlign w:val="center"/>
          </w:tcPr>
          <w:p>
            <w:pPr>
              <w:spacing w:line="280" w:lineRule="exact"/>
              <w:ind w:left="0" w:firstLine="0"/>
              <w:jc w:val="center"/>
              <w:rPr>
                <w:rFonts w:ascii="仿宋" w:hAnsi="仿宋" w:eastAsia="仿宋"/>
                <w:b/>
                <w:bCs/>
                <w:color w:val="auto"/>
                <w:sz w:val="18"/>
                <w:szCs w:val="18"/>
              </w:rPr>
            </w:pPr>
            <w:r>
              <w:rPr>
                <w:rFonts w:hint="eastAsia" w:ascii="仿宋" w:hAnsi="仿宋" w:eastAsia="仿宋" w:cs="FangSong_GB2312falt"/>
                <w:b/>
                <w:bCs/>
                <w:color w:val="auto"/>
                <w:sz w:val="18"/>
                <w:szCs w:val="18"/>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9" w:hRule="exact"/>
          <w:jc w:val="center"/>
        </w:trPr>
        <w:tc>
          <w:tcPr>
            <w:tcW w:w="262" w:type="dxa"/>
            <w:vMerge w:val="continue"/>
            <w:vAlign w:val="center"/>
          </w:tcPr>
          <w:p>
            <w:pPr>
              <w:spacing w:line="280" w:lineRule="exact"/>
              <w:ind w:left="0" w:firstLine="0"/>
              <w:jc w:val="center"/>
              <w:rPr>
                <w:rFonts w:ascii="仿宋" w:hAnsi="仿宋" w:eastAsia="仿宋"/>
                <w:color w:val="auto"/>
                <w:sz w:val="18"/>
                <w:szCs w:val="18"/>
              </w:rPr>
            </w:pPr>
          </w:p>
        </w:tc>
        <w:tc>
          <w:tcPr>
            <w:tcW w:w="742" w:type="dxa"/>
            <w:vMerge w:val="continue"/>
            <w:vAlign w:val="center"/>
          </w:tcPr>
          <w:p>
            <w:pPr>
              <w:spacing w:line="280" w:lineRule="exact"/>
              <w:ind w:left="0" w:firstLine="0"/>
              <w:jc w:val="center"/>
              <w:rPr>
                <w:rFonts w:ascii="仿宋" w:hAnsi="仿宋" w:eastAsia="仿宋"/>
                <w:color w:val="auto"/>
                <w:sz w:val="18"/>
                <w:szCs w:val="18"/>
              </w:rPr>
            </w:pPr>
          </w:p>
        </w:tc>
        <w:tc>
          <w:tcPr>
            <w:tcW w:w="883" w:type="dxa"/>
            <w:vMerge w:val="continue"/>
            <w:vAlign w:val="center"/>
          </w:tcPr>
          <w:p>
            <w:pPr>
              <w:spacing w:line="300" w:lineRule="exact"/>
              <w:ind w:left="0" w:firstLine="0"/>
              <w:jc w:val="center"/>
              <w:rPr>
                <w:rFonts w:hint="eastAsia" w:ascii="仿宋" w:hAnsi="仿宋" w:eastAsia="仿宋"/>
                <w:color w:val="auto"/>
                <w:sz w:val="18"/>
                <w:szCs w:val="18"/>
              </w:rPr>
            </w:pPr>
          </w:p>
        </w:tc>
        <w:tc>
          <w:tcPr>
            <w:tcW w:w="1059" w:type="dxa"/>
            <w:vMerge w:val="continue"/>
            <w:vAlign w:val="center"/>
          </w:tcPr>
          <w:p>
            <w:pPr>
              <w:spacing w:line="280" w:lineRule="exact"/>
              <w:ind w:left="0" w:firstLine="0"/>
              <w:jc w:val="center"/>
              <w:rPr>
                <w:rFonts w:ascii="仿宋" w:hAnsi="仿宋" w:eastAsia="仿宋"/>
                <w:b/>
                <w:bCs/>
                <w:color w:val="auto"/>
                <w:sz w:val="18"/>
                <w:szCs w:val="18"/>
              </w:rPr>
            </w:pPr>
          </w:p>
        </w:tc>
        <w:tc>
          <w:tcPr>
            <w:tcW w:w="655" w:type="dxa"/>
            <w:vMerge w:val="continue"/>
            <w:vAlign w:val="center"/>
          </w:tcPr>
          <w:p>
            <w:pPr>
              <w:spacing w:line="300" w:lineRule="exact"/>
              <w:ind w:left="0" w:firstLine="0"/>
              <w:jc w:val="center"/>
              <w:rPr>
                <w:rFonts w:hint="eastAsia" w:ascii="仿宋" w:hAnsi="仿宋" w:eastAsia="仿宋"/>
                <w:color w:val="auto"/>
                <w:sz w:val="18"/>
                <w:szCs w:val="18"/>
                <w:lang w:val="en-US" w:eastAsia="zh-CN"/>
              </w:rPr>
            </w:pPr>
          </w:p>
        </w:tc>
        <w:tc>
          <w:tcPr>
            <w:tcW w:w="618" w:type="dxa"/>
            <w:vAlign w:val="center"/>
          </w:tcPr>
          <w:p>
            <w:pPr>
              <w:spacing w:line="240" w:lineRule="exact"/>
              <w:ind w:left="0" w:firstLine="0"/>
              <w:jc w:val="center"/>
              <w:rPr>
                <w:rFonts w:ascii="仿宋" w:hAnsi="仿宋" w:eastAsia="仿宋"/>
                <w:b/>
                <w:bCs/>
                <w:color w:val="auto"/>
                <w:sz w:val="18"/>
                <w:szCs w:val="18"/>
              </w:rPr>
            </w:pPr>
            <w:r>
              <w:rPr>
                <w:rFonts w:hint="eastAsia" w:ascii="仿宋" w:hAnsi="仿宋" w:eastAsia="仿宋" w:cs="FangSong_GB2312falt"/>
                <w:b/>
                <w:bCs/>
                <w:color w:val="auto"/>
                <w:sz w:val="18"/>
                <w:szCs w:val="18"/>
              </w:rPr>
              <w:t>容积率</w:t>
            </w:r>
          </w:p>
        </w:tc>
        <w:tc>
          <w:tcPr>
            <w:tcW w:w="756" w:type="dxa"/>
            <w:vAlign w:val="center"/>
          </w:tcPr>
          <w:p>
            <w:pPr>
              <w:pStyle w:val="30"/>
              <w:spacing w:line="240" w:lineRule="exact"/>
              <w:jc w:val="center"/>
              <w:textAlignment w:val="center"/>
              <w:rPr>
                <w:rFonts w:ascii="仿宋" w:hAnsi="仿宋" w:eastAsia="仿宋" w:cs="FangSong_GB2312falt"/>
                <w:b/>
                <w:bCs/>
                <w:color w:val="auto"/>
                <w:sz w:val="18"/>
                <w:szCs w:val="18"/>
              </w:rPr>
            </w:pPr>
            <w:r>
              <w:rPr>
                <w:rFonts w:hint="eastAsia" w:ascii="仿宋" w:hAnsi="仿宋" w:eastAsia="仿宋"/>
                <w:b/>
                <w:color w:val="auto"/>
                <w:sz w:val="18"/>
                <w:szCs w:val="18"/>
              </w:rPr>
              <w:t>建筑限高</w:t>
            </w:r>
          </w:p>
        </w:tc>
        <w:tc>
          <w:tcPr>
            <w:tcW w:w="630" w:type="dxa"/>
            <w:vAlign w:val="center"/>
          </w:tcPr>
          <w:p>
            <w:pPr>
              <w:pStyle w:val="30"/>
              <w:spacing w:line="240" w:lineRule="exact"/>
              <w:jc w:val="center"/>
              <w:textAlignment w:val="center"/>
              <w:rPr>
                <w:rFonts w:hint="default" w:ascii="仿宋" w:hAnsi="仿宋" w:eastAsia="仿宋" w:cs="FangSong_GB2312falt"/>
                <w:b/>
                <w:bCs/>
                <w:color w:val="auto"/>
                <w:sz w:val="18"/>
                <w:szCs w:val="18"/>
                <w:lang w:val="en-US" w:eastAsia="zh-CN"/>
              </w:rPr>
            </w:pPr>
            <w:r>
              <w:rPr>
                <w:rFonts w:hint="eastAsia" w:ascii="仿宋" w:hAnsi="仿宋" w:eastAsia="仿宋" w:cs="FangSong_GB2312falt"/>
                <w:b/>
                <w:bCs/>
                <w:color w:val="auto"/>
                <w:sz w:val="18"/>
                <w:szCs w:val="18"/>
              </w:rPr>
              <w:t>建筑</w:t>
            </w:r>
            <w:r>
              <w:rPr>
                <w:rFonts w:hint="eastAsia" w:ascii="仿宋" w:hAnsi="仿宋" w:eastAsia="仿宋" w:cs="FangSong_GB2312falt"/>
                <w:b/>
                <w:bCs/>
                <w:color w:val="auto"/>
                <w:sz w:val="18"/>
                <w:szCs w:val="18"/>
                <w:lang w:val="en-US" w:eastAsia="zh-CN"/>
              </w:rPr>
              <w:t>密度/系数</w:t>
            </w:r>
          </w:p>
        </w:tc>
        <w:tc>
          <w:tcPr>
            <w:tcW w:w="807" w:type="dxa"/>
            <w:tcBorders>
              <w:right w:val="single" w:color="auto" w:sz="4" w:space="0"/>
            </w:tcBorders>
            <w:vAlign w:val="center"/>
          </w:tcPr>
          <w:p>
            <w:pPr>
              <w:pStyle w:val="30"/>
              <w:spacing w:line="240" w:lineRule="exact"/>
              <w:jc w:val="center"/>
              <w:textAlignment w:val="center"/>
              <w:rPr>
                <w:rFonts w:hint="eastAsia" w:ascii="仿宋" w:hAnsi="仿宋" w:eastAsia="仿宋" w:cs="FangSong_GB2312falt"/>
                <w:b/>
                <w:bCs/>
                <w:color w:val="auto"/>
                <w:sz w:val="18"/>
                <w:szCs w:val="18"/>
                <w:lang w:val="en-US" w:eastAsia="zh-CN"/>
              </w:rPr>
            </w:pPr>
            <w:r>
              <w:rPr>
                <w:rFonts w:hint="eastAsia" w:ascii="仿宋" w:hAnsi="仿宋" w:eastAsia="仿宋" w:cs="FangSong_GB2312falt"/>
                <w:b/>
                <w:bCs/>
                <w:color w:val="auto"/>
                <w:sz w:val="18"/>
                <w:szCs w:val="18"/>
              </w:rPr>
              <w:t>绿地率</w:t>
            </w:r>
          </w:p>
        </w:tc>
        <w:tc>
          <w:tcPr>
            <w:tcW w:w="794" w:type="dxa"/>
            <w:tcBorders>
              <w:left w:val="single" w:color="auto" w:sz="4" w:space="0"/>
              <w:right w:val="single" w:color="auto" w:sz="4" w:space="0"/>
            </w:tcBorders>
            <w:vAlign w:val="center"/>
          </w:tcPr>
          <w:p>
            <w:pPr>
              <w:pStyle w:val="30"/>
              <w:spacing w:line="240" w:lineRule="exact"/>
              <w:jc w:val="center"/>
              <w:rPr>
                <w:rFonts w:hint="eastAsia" w:ascii="仿宋" w:hAnsi="仿宋" w:eastAsia="仿宋"/>
                <w:b/>
                <w:bCs/>
                <w:color w:val="auto"/>
                <w:sz w:val="18"/>
                <w:szCs w:val="18"/>
                <w:lang w:eastAsia="zh-CN"/>
              </w:rPr>
            </w:pPr>
            <w:r>
              <w:rPr>
                <w:rFonts w:hint="eastAsia" w:ascii="仿宋" w:hAnsi="仿宋" w:eastAsia="仿宋"/>
                <w:b/>
                <w:bCs/>
                <w:color w:val="auto"/>
                <w:sz w:val="18"/>
                <w:szCs w:val="18"/>
                <w:lang w:eastAsia="zh-CN"/>
              </w:rPr>
              <w:t>投资强度</w:t>
            </w:r>
          </w:p>
        </w:tc>
        <w:tc>
          <w:tcPr>
            <w:tcW w:w="630" w:type="dxa"/>
            <w:vMerge w:val="continue"/>
            <w:tcBorders>
              <w:left w:val="single" w:color="auto" w:sz="4" w:space="0"/>
              <w:right w:val="single" w:color="auto" w:sz="4" w:space="0"/>
            </w:tcBorders>
            <w:vAlign w:val="center"/>
          </w:tcPr>
          <w:p>
            <w:pPr>
              <w:pStyle w:val="30"/>
              <w:spacing w:line="240" w:lineRule="exact"/>
              <w:jc w:val="center"/>
              <w:rPr>
                <w:rFonts w:ascii="仿宋" w:hAnsi="仿宋" w:eastAsia="仿宋"/>
                <w:b/>
                <w:bCs/>
                <w:color w:val="auto"/>
                <w:sz w:val="18"/>
                <w:szCs w:val="18"/>
              </w:rPr>
            </w:pPr>
          </w:p>
        </w:tc>
        <w:tc>
          <w:tcPr>
            <w:tcW w:w="996" w:type="dxa"/>
            <w:vMerge w:val="continue"/>
            <w:tcBorders>
              <w:left w:val="single" w:color="auto" w:sz="4" w:space="0"/>
              <w:right w:val="single" w:color="auto" w:sz="4" w:space="0"/>
            </w:tcBorders>
            <w:vAlign w:val="center"/>
          </w:tcPr>
          <w:p>
            <w:pPr>
              <w:spacing w:line="280" w:lineRule="exact"/>
              <w:ind w:left="0" w:firstLine="0"/>
              <w:jc w:val="center"/>
              <w:rPr>
                <w:rFonts w:ascii="仿宋" w:hAnsi="仿宋" w:eastAsia="仿宋"/>
                <w:color w:val="auto"/>
                <w:sz w:val="18"/>
                <w:szCs w:val="18"/>
              </w:rPr>
            </w:pPr>
          </w:p>
        </w:tc>
        <w:tc>
          <w:tcPr>
            <w:tcW w:w="996" w:type="dxa"/>
            <w:vMerge w:val="continue"/>
            <w:tcBorders>
              <w:left w:val="single" w:color="auto" w:sz="4" w:space="0"/>
              <w:right w:val="single" w:color="auto" w:sz="4" w:space="0"/>
            </w:tcBorders>
            <w:vAlign w:val="center"/>
          </w:tcPr>
          <w:p>
            <w:pPr>
              <w:spacing w:line="280" w:lineRule="exact"/>
              <w:ind w:left="0" w:firstLine="0"/>
              <w:jc w:val="center"/>
              <w:rPr>
                <w:rFonts w:ascii="仿宋" w:hAnsi="仿宋" w:eastAsia="仿宋"/>
                <w:color w:val="auto"/>
                <w:sz w:val="18"/>
                <w:szCs w:val="18"/>
              </w:rPr>
            </w:pPr>
          </w:p>
        </w:tc>
        <w:tc>
          <w:tcPr>
            <w:tcW w:w="1646" w:type="dxa"/>
            <w:vMerge w:val="continue"/>
            <w:tcBorders>
              <w:left w:val="single" w:color="auto" w:sz="4" w:space="0"/>
              <w:bottom w:val="single" w:color="auto" w:sz="4" w:space="0"/>
              <w:right w:val="single" w:color="auto" w:sz="4" w:space="0"/>
            </w:tcBorders>
            <w:vAlign w:val="center"/>
          </w:tcPr>
          <w:p>
            <w:pPr>
              <w:spacing w:line="280" w:lineRule="exact"/>
              <w:ind w:left="0" w:firstLine="0"/>
              <w:jc w:val="center"/>
              <w:rPr>
                <w:rFonts w:ascii="仿宋" w:hAnsi="仿宋" w:eastAsia="仿宋"/>
                <w:color w:val="auto"/>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4" w:hRule="atLeast"/>
          <w:jc w:val="center"/>
        </w:trPr>
        <w:tc>
          <w:tcPr>
            <w:tcW w:w="262" w:type="dxa"/>
            <w:vAlign w:val="center"/>
          </w:tcPr>
          <w:p>
            <w:pPr>
              <w:pStyle w:val="30"/>
              <w:jc w:val="center"/>
              <w:rPr>
                <w:rFonts w:ascii="仿宋" w:hAnsi="仿宋" w:eastAsia="仿宋"/>
                <w:color w:val="auto"/>
              </w:rPr>
            </w:pPr>
            <w:r>
              <w:rPr>
                <w:rFonts w:ascii="仿宋" w:hAnsi="仿宋" w:eastAsia="仿宋"/>
                <w:color w:val="auto"/>
              </w:rPr>
              <w:t>1</w:t>
            </w:r>
          </w:p>
        </w:tc>
        <w:tc>
          <w:tcPr>
            <w:tcW w:w="742" w:type="dxa"/>
            <w:vAlign w:val="center"/>
          </w:tcPr>
          <w:p>
            <w:pPr>
              <w:spacing w:line="300" w:lineRule="exact"/>
              <w:ind w:left="0" w:firstLine="0"/>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rPr>
              <w:t>202</w:t>
            </w:r>
            <w:r>
              <w:rPr>
                <w:rFonts w:hint="eastAsia" w:ascii="仿宋_GB2312" w:hAnsi="宋体" w:eastAsia="仿宋_GB2312" w:cs="宋体"/>
                <w:color w:val="auto"/>
                <w:kern w:val="0"/>
                <w:szCs w:val="21"/>
                <w:lang w:val="en-US" w:eastAsia="zh-CN"/>
              </w:rPr>
              <w:t>3</w:t>
            </w:r>
            <w:r>
              <w:rPr>
                <w:rFonts w:hint="eastAsia" w:ascii="仿宋_GB2312" w:hAnsi="宋体" w:eastAsia="仿宋_GB2312" w:cs="宋体"/>
                <w:color w:val="auto"/>
                <w:kern w:val="0"/>
                <w:szCs w:val="21"/>
              </w:rPr>
              <w:t>G</w:t>
            </w:r>
            <w:r>
              <w:rPr>
                <w:rFonts w:hint="eastAsia" w:ascii="仿宋_GB2312" w:hAnsi="宋体" w:eastAsia="仿宋_GB2312" w:cs="宋体"/>
                <w:color w:val="auto"/>
                <w:kern w:val="0"/>
                <w:szCs w:val="21"/>
                <w:lang w:val="en-US" w:eastAsia="zh-CN"/>
              </w:rPr>
              <w:t>D-48-01</w:t>
            </w:r>
          </w:p>
        </w:tc>
        <w:tc>
          <w:tcPr>
            <w:tcW w:w="883"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低碳产业园（海南区）</w:t>
            </w:r>
          </w:p>
        </w:tc>
        <w:tc>
          <w:tcPr>
            <w:tcW w:w="1059"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45544.41平方米（约68.3亩）</w:t>
            </w:r>
          </w:p>
        </w:tc>
        <w:tc>
          <w:tcPr>
            <w:tcW w:w="655" w:type="dxa"/>
            <w:vAlign w:val="center"/>
          </w:tcPr>
          <w:p>
            <w:pPr>
              <w:spacing w:line="300" w:lineRule="exact"/>
              <w:ind w:left="0" w:firstLine="0"/>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居住用地、兼容商业用地（兼容比例7%）</w:t>
            </w:r>
          </w:p>
        </w:tc>
        <w:tc>
          <w:tcPr>
            <w:tcW w:w="618" w:type="dxa"/>
            <w:vAlign w:val="center"/>
          </w:tcPr>
          <w:p>
            <w:pPr>
              <w:spacing w:line="300" w:lineRule="exact"/>
              <w:ind w:left="0" w:firstLine="0"/>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eastAsia="zh-CN"/>
              </w:rPr>
              <w:t>≤2.0</w:t>
            </w:r>
          </w:p>
        </w:tc>
        <w:tc>
          <w:tcPr>
            <w:tcW w:w="756" w:type="dxa"/>
            <w:vAlign w:val="center"/>
          </w:tcPr>
          <w:p>
            <w:pPr>
              <w:spacing w:line="300" w:lineRule="exact"/>
              <w:ind w:left="0" w:firstLine="0"/>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eastAsia="zh-CN"/>
              </w:rPr>
              <w:t>≤</w:t>
            </w:r>
            <w:r>
              <w:rPr>
                <w:rFonts w:hint="eastAsia" w:ascii="仿宋_GB2312" w:hAnsi="宋体" w:eastAsia="仿宋_GB2312" w:cs="宋体"/>
                <w:color w:val="auto"/>
                <w:kern w:val="0"/>
                <w:szCs w:val="21"/>
                <w:lang w:val="en-US" w:eastAsia="zh-CN"/>
              </w:rPr>
              <w:t>54</w:t>
            </w:r>
            <w:r>
              <w:rPr>
                <w:rFonts w:hint="eastAsia" w:ascii="仿宋_GB2312" w:hAnsi="宋体" w:eastAsia="仿宋_GB2312" w:cs="宋体"/>
                <w:color w:val="auto"/>
                <w:kern w:val="0"/>
                <w:szCs w:val="21"/>
                <w:lang w:eastAsia="zh-CN"/>
              </w:rPr>
              <w:t>米</w:t>
            </w:r>
          </w:p>
          <w:p>
            <w:pPr>
              <w:spacing w:line="300" w:lineRule="exact"/>
              <w:ind w:left="0" w:firstLine="0"/>
              <w:jc w:val="center"/>
              <w:rPr>
                <w:rFonts w:hint="eastAsia" w:ascii="仿宋_GB2312" w:hAnsi="宋体" w:eastAsia="仿宋_GB2312" w:cs="宋体"/>
                <w:color w:val="auto"/>
                <w:kern w:val="0"/>
                <w:szCs w:val="21"/>
                <w:lang w:val="en-US" w:eastAsia="zh-CN"/>
              </w:rPr>
            </w:pPr>
          </w:p>
        </w:tc>
        <w:tc>
          <w:tcPr>
            <w:tcW w:w="630"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eastAsia="zh-CN"/>
              </w:rPr>
              <w:t>≤</w:t>
            </w:r>
            <w:r>
              <w:rPr>
                <w:rFonts w:hint="eastAsia" w:ascii="仿宋_GB2312" w:hAnsi="宋体" w:eastAsia="仿宋_GB2312" w:cs="宋体"/>
                <w:color w:val="auto"/>
                <w:kern w:val="0"/>
                <w:szCs w:val="21"/>
                <w:lang w:val="en-US" w:eastAsia="zh-CN"/>
              </w:rPr>
              <w:t>30</w:t>
            </w:r>
            <w:r>
              <w:rPr>
                <w:rFonts w:hint="eastAsia" w:ascii="仿宋_GB2312" w:hAnsi="宋体" w:eastAsia="仿宋_GB2312" w:cs="宋体"/>
                <w:color w:val="auto"/>
                <w:kern w:val="0"/>
                <w:szCs w:val="21"/>
                <w:lang w:eastAsia="zh-CN"/>
              </w:rPr>
              <w:t>%</w:t>
            </w:r>
          </w:p>
        </w:tc>
        <w:tc>
          <w:tcPr>
            <w:tcW w:w="807" w:type="dxa"/>
            <w:tcBorders>
              <w:top w:val="single" w:color="auto" w:sz="4" w:space="0"/>
              <w:bottom w:val="single" w:color="auto" w:sz="4" w:space="0"/>
            </w:tcBorders>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≥30%</w:t>
            </w:r>
          </w:p>
          <w:p>
            <w:pPr>
              <w:spacing w:line="300" w:lineRule="exact"/>
              <w:ind w:left="0" w:firstLine="0"/>
              <w:jc w:val="center"/>
              <w:rPr>
                <w:rFonts w:hint="default" w:ascii="仿宋_GB2312" w:hAnsi="宋体" w:eastAsia="仿宋_GB2312" w:cs="宋体"/>
                <w:color w:val="auto"/>
                <w:kern w:val="0"/>
                <w:szCs w:val="21"/>
                <w:lang w:val="en-US" w:eastAsia="zh-CN"/>
              </w:rPr>
            </w:pPr>
          </w:p>
        </w:tc>
        <w:tc>
          <w:tcPr>
            <w:tcW w:w="794"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p>
        </w:tc>
        <w:tc>
          <w:tcPr>
            <w:tcW w:w="630" w:type="dxa"/>
            <w:vAlign w:val="center"/>
          </w:tcPr>
          <w:p>
            <w:pPr>
              <w:spacing w:line="300" w:lineRule="exact"/>
              <w:ind w:left="0" w:firstLine="0"/>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居住用地：70年、商业用地：40年</w:t>
            </w:r>
          </w:p>
        </w:tc>
        <w:tc>
          <w:tcPr>
            <w:tcW w:w="996" w:type="dxa"/>
            <w:vAlign w:val="center"/>
          </w:tcPr>
          <w:p>
            <w:pPr>
              <w:spacing w:line="300" w:lineRule="exact"/>
              <w:ind w:left="0" w:firstLine="0"/>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1571.2821</w:t>
            </w:r>
          </w:p>
        </w:tc>
        <w:tc>
          <w:tcPr>
            <w:tcW w:w="996" w:type="dxa"/>
            <w:vAlign w:val="center"/>
          </w:tcPr>
          <w:p>
            <w:pPr>
              <w:spacing w:line="300" w:lineRule="exact"/>
              <w:ind w:left="0" w:firstLine="0"/>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1571.2821</w:t>
            </w:r>
          </w:p>
        </w:tc>
        <w:tc>
          <w:tcPr>
            <w:tcW w:w="1646" w:type="dxa"/>
            <w:vAlign w:val="center"/>
          </w:tcPr>
          <w:p>
            <w:pPr>
              <w:spacing w:line="300" w:lineRule="exact"/>
              <w:ind w:left="0" w:leftChars="0" w:firstLine="0" w:firstLineChars="0"/>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lang w:val="en-US" w:eastAsia="zh-CN"/>
              </w:rPr>
              <w:t xml:space="preserve">  </w:t>
            </w:r>
            <w:r>
              <w:rPr>
                <w:rFonts w:hint="eastAsia" w:ascii="仿宋_GB2312" w:hAnsi="宋体" w:eastAsia="仿宋_GB2312" w:cs="宋体"/>
                <w:color w:val="auto"/>
                <w:kern w:val="0"/>
                <w:szCs w:val="21"/>
              </w:rPr>
              <w:t>地块的面积、规划方案等均以乌海市国土空间规划委员会最终批准方案为准。</w:t>
            </w:r>
          </w:p>
          <w:p>
            <w:pPr>
              <w:spacing w:line="300" w:lineRule="exact"/>
              <w:ind w:left="0" w:firstLine="0"/>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lang w:val="en-US"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4" w:hRule="atLeast"/>
          <w:jc w:val="center"/>
        </w:trPr>
        <w:tc>
          <w:tcPr>
            <w:tcW w:w="262" w:type="dxa"/>
            <w:vAlign w:val="center"/>
          </w:tcPr>
          <w:p>
            <w:pPr>
              <w:pStyle w:val="30"/>
              <w:jc w:val="center"/>
              <w:rPr>
                <w:rFonts w:hint="eastAsia" w:ascii="仿宋" w:hAnsi="仿宋" w:eastAsia="仿宋"/>
                <w:color w:val="auto"/>
                <w:lang w:val="en-US" w:eastAsia="zh-CN"/>
              </w:rPr>
            </w:pPr>
            <w:r>
              <w:rPr>
                <w:rFonts w:hint="eastAsia" w:ascii="仿宋" w:hAnsi="仿宋" w:eastAsia="仿宋"/>
                <w:color w:val="auto"/>
                <w:lang w:val="en-US" w:eastAsia="zh-CN"/>
              </w:rPr>
              <w:t>2</w:t>
            </w:r>
          </w:p>
        </w:tc>
        <w:tc>
          <w:tcPr>
            <w:tcW w:w="742" w:type="dxa"/>
            <w:vAlign w:val="center"/>
          </w:tcPr>
          <w:p>
            <w:pPr>
              <w:spacing w:line="300" w:lineRule="exact"/>
              <w:ind w:left="0" w:firstLine="0"/>
              <w:jc w:val="center"/>
              <w:rPr>
                <w:rFonts w:hint="default" w:ascii="仿宋_GB2312" w:hAnsi="宋体" w:eastAsia="仿宋_GB2312" w:cs="宋体"/>
                <w:color w:val="auto"/>
                <w:kern w:val="0"/>
                <w:szCs w:val="21"/>
                <w:lang w:val="en-US"/>
              </w:rPr>
            </w:pPr>
            <w:r>
              <w:rPr>
                <w:rFonts w:hint="eastAsia" w:ascii="仿宋_GB2312" w:hAnsi="宋体" w:eastAsia="仿宋_GB2312" w:cs="宋体"/>
                <w:color w:val="auto"/>
                <w:kern w:val="0"/>
                <w:szCs w:val="21"/>
              </w:rPr>
              <w:t>202</w:t>
            </w:r>
            <w:r>
              <w:rPr>
                <w:rFonts w:hint="eastAsia" w:ascii="仿宋_GB2312" w:hAnsi="宋体" w:eastAsia="仿宋_GB2312" w:cs="宋体"/>
                <w:color w:val="auto"/>
                <w:kern w:val="0"/>
                <w:szCs w:val="21"/>
                <w:lang w:val="en-US" w:eastAsia="zh-CN"/>
              </w:rPr>
              <w:t>3</w:t>
            </w:r>
            <w:r>
              <w:rPr>
                <w:rFonts w:hint="eastAsia" w:ascii="仿宋_GB2312" w:hAnsi="宋体" w:eastAsia="仿宋_GB2312" w:cs="宋体"/>
                <w:color w:val="auto"/>
                <w:kern w:val="0"/>
                <w:szCs w:val="21"/>
              </w:rPr>
              <w:t>G</w:t>
            </w:r>
            <w:r>
              <w:rPr>
                <w:rFonts w:hint="eastAsia" w:ascii="仿宋_GB2312" w:hAnsi="宋体" w:eastAsia="仿宋_GB2312" w:cs="宋体"/>
                <w:color w:val="auto"/>
                <w:kern w:val="0"/>
                <w:szCs w:val="21"/>
                <w:lang w:val="en-US" w:eastAsia="zh-CN"/>
              </w:rPr>
              <w:t>D-48-02</w:t>
            </w:r>
          </w:p>
        </w:tc>
        <w:tc>
          <w:tcPr>
            <w:tcW w:w="883" w:type="dxa"/>
            <w:vAlign w:val="center"/>
          </w:tcPr>
          <w:p>
            <w:pPr>
              <w:spacing w:line="300" w:lineRule="exact"/>
              <w:ind w:left="0" w:firstLine="0"/>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eastAsia="zh-CN"/>
              </w:rPr>
              <w:t>低碳产业园（海南区）</w:t>
            </w:r>
          </w:p>
        </w:tc>
        <w:tc>
          <w:tcPr>
            <w:tcW w:w="1059" w:type="dxa"/>
            <w:vAlign w:val="center"/>
          </w:tcPr>
          <w:p>
            <w:pPr>
              <w:spacing w:line="300" w:lineRule="exact"/>
              <w:ind w:left="0" w:firstLine="0"/>
              <w:jc w:val="center"/>
              <w:rPr>
                <w:rFonts w:hint="eastAsia" w:ascii="仿宋" w:hAnsi="仿宋" w:eastAsia="仿宋" w:cs="仿宋"/>
                <w:color w:val="auto"/>
                <w:kern w:val="2"/>
                <w:sz w:val="21"/>
                <w:szCs w:val="21"/>
                <w:highlight w:val="none"/>
                <w:vertAlign w:val="baseline"/>
                <w:lang w:val="en-US" w:eastAsia="zh-CN" w:bidi="ar"/>
              </w:rPr>
            </w:pPr>
            <w:r>
              <w:rPr>
                <w:rFonts w:hint="eastAsia" w:ascii="仿宋" w:hAnsi="仿宋" w:eastAsia="仿宋" w:cs="仿宋"/>
                <w:color w:val="auto"/>
                <w:kern w:val="2"/>
                <w:sz w:val="21"/>
                <w:szCs w:val="21"/>
                <w:highlight w:val="none"/>
                <w:vertAlign w:val="baseline"/>
                <w:lang w:val="en-US" w:eastAsia="zh-CN" w:bidi="ar"/>
              </w:rPr>
              <w:t>10932.99平方米（约16.4亩）</w:t>
            </w:r>
          </w:p>
        </w:tc>
        <w:tc>
          <w:tcPr>
            <w:tcW w:w="655"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商务用地</w:t>
            </w:r>
          </w:p>
        </w:tc>
        <w:tc>
          <w:tcPr>
            <w:tcW w:w="618" w:type="dxa"/>
            <w:vAlign w:val="center"/>
          </w:tcPr>
          <w:p>
            <w:pPr>
              <w:spacing w:line="300" w:lineRule="exact"/>
              <w:ind w:left="0" w:firstLine="0"/>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eastAsia="zh-CN"/>
              </w:rPr>
              <w:t>≤2.0</w:t>
            </w:r>
          </w:p>
        </w:tc>
        <w:tc>
          <w:tcPr>
            <w:tcW w:w="756" w:type="dxa"/>
            <w:vAlign w:val="center"/>
          </w:tcPr>
          <w:p>
            <w:pPr>
              <w:spacing w:line="300" w:lineRule="exact"/>
              <w:ind w:left="0" w:firstLine="0"/>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eastAsia="zh-CN"/>
              </w:rPr>
              <w:t>≤</w:t>
            </w:r>
            <w:r>
              <w:rPr>
                <w:rFonts w:hint="eastAsia" w:ascii="仿宋_GB2312" w:hAnsi="宋体" w:eastAsia="仿宋_GB2312" w:cs="宋体"/>
                <w:color w:val="auto"/>
                <w:kern w:val="0"/>
                <w:szCs w:val="21"/>
                <w:lang w:val="en-US" w:eastAsia="zh-CN"/>
              </w:rPr>
              <w:t>40</w:t>
            </w:r>
            <w:r>
              <w:rPr>
                <w:rFonts w:hint="eastAsia" w:ascii="仿宋_GB2312" w:hAnsi="宋体" w:eastAsia="仿宋_GB2312" w:cs="宋体"/>
                <w:color w:val="auto"/>
                <w:kern w:val="0"/>
                <w:szCs w:val="21"/>
                <w:lang w:eastAsia="zh-CN"/>
              </w:rPr>
              <w:t>米</w:t>
            </w:r>
          </w:p>
          <w:p>
            <w:pPr>
              <w:spacing w:line="300" w:lineRule="exact"/>
              <w:ind w:left="0" w:firstLine="0"/>
              <w:jc w:val="center"/>
              <w:rPr>
                <w:rFonts w:hint="eastAsia" w:ascii="仿宋_GB2312" w:hAnsi="宋体" w:eastAsia="仿宋_GB2312" w:cs="宋体"/>
                <w:color w:val="auto"/>
                <w:kern w:val="0"/>
                <w:szCs w:val="21"/>
                <w:lang w:val="en-US" w:eastAsia="zh-CN"/>
              </w:rPr>
            </w:pPr>
          </w:p>
        </w:tc>
        <w:tc>
          <w:tcPr>
            <w:tcW w:w="630" w:type="dxa"/>
            <w:vAlign w:val="center"/>
          </w:tcPr>
          <w:p>
            <w:pPr>
              <w:spacing w:line="300" w:lineRule="exact"/>
              <w:ind w:left="0" w:firstLine="0"/>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eastAsia="zh-CN"/>
              </w:rPr>
              <w:t>≤</w:t>
            </w:r>
            <w:r>
              <w:rPr>
                <w:rFonts w:hint="eastAsia" w:ascii="仿宋_GB2312" w:hAnsi="宋体" w:eastAsia="仿宋_GB2312" w:cs="宋体"/>
                <w:color w:val="auto"/>
                <w:kern w:val="0"/>
                <w:szCs w:val="21"/>
                <w:lang w:val="en-US" w:eastAsia="zh-CN"/>
              </w:rPr>
              <w:t>35</w:t>
            </w:r>
            <w:r>
              <w:rPr>
                <w:rFonts w:hint="eastAsia" w:ascii="仿宋_GB2312" w:hAnsi="宋体" w:eastAsia="仿宋_GB2312" w:cs="宋体"/>
                <w:color w:val="auto"/>
                <w:kern w:val="0"/>
                <w:szCs w:val="21"/>
                <w:lang w:eastAsia="zh-CN"/>
              </w:rPr>
              <w:t>%</w:t>
            </w:r>
          </w:p>
        </w:tc>
        <w:tc>
          <w:tcPr>
            <w:tcW w:w="807" w:type="dxa"/>
            <w:tcBorders>
              <w:top w:val="single" w:color="auto" w:sz="4" w:space="0"/>
              <w:bottom w:val="single" w:color="auto" w:sz="4" w:space="0"/>
            </w:tcBorders>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≥20%</w:t>
            </w:r>
          </w:p>
          <w:p>
            <w:pPr>
              <w:spacing w:line="300" w:lineRule="exact"/>
              <w:ind w:left="0" w:firstLine="0"/>
              <w:jc w:val="center"/>
              <w:rPr>
                <w:rFonts w:hint="default" w:ascii="仿宋_GB2312" w:hAnsi="宋体" w:eastAsia="仿宋_GB2312" w:cs="宋体"/>
                <w:color w:val="auto"/>
                <w:kern w:val="0"/>
                <w:szCs w:val="21"/>
                <w:lang w:val="en-US" w:eastAsia="zh-CN"/>
              </w:rPr>
            </w:pPr>
          </w:p>
        </w:tc>
        <w:tc>
          <w:tcPr>
            <w:tcW w:w="794"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p>
        </w:tc>
        <w:tc>
          <w:tcPr>
            <w:tcW w:w="630" w:type="dxa"/>
            <w:vAlign w:val="center"/>
          </w:tcPr>
          <w:p>
            <w:pPr>
              <w:spacing w:line="300" w:lineRule="exact"/>
              <w:ind w:left="0" w:firstLine="0"/>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商务用地：40年</w:t>
            </w:r>
          </w:p>
        </w:tc>
        <w:tc>
          <w:tcPr>
            <w:tcW w:w="996"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1115.1650</w:t>
            </w:r>
          </w:p>
        </w:tc>
        <w:tc>
          <w:tcPr>
            <w:tcW w:w="996"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1115.1650</w:t>
            </w:r>
          </w:p>
        </w:tc>
        <w:tc>
          <w:tcPr>
            <w:tcW w:w="1646"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rPr>
              <w:t>地块的面积、规划方案等均以乌海市国土空间规划委员会最终批准方案为准。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4" w:hRule="atLeast"/>
          <w:jc w:val="center"/>
        </w:trPr>
        <w:tc>
          <w:tcPr>
            <w:tcW w:w="262" w:type="dxa"/>
            <w:vAlign w:val="center"/>
          </w:tcPr>
          <w:p>
            <w:pPr>
              <w:pStyle w:val="30"/>
              <w:jc w:val="center"/>
              <w:rPr>
                <w:rFonts w:hint="default" w:ascii="仿宋" w:hAnsi="仿宋" w:eastAsia="仿宋"/>
                <w:color w:val="auto"/>
                <w:lang w:val="en-US" w:eastAsia="zh-CN"/>
              </w:rPr>
            </w:pPr>
            <w:r>
              <w:rPr>
                <w:rFonts w:hint="eastAsia" w:ascii="仿宋" w:hAnsi="仿宋" w:eastAsia="仿宋"/>
                <w:color w:val="auto"/>
                <w:lang w:val="en-US" w:eastAsia="zh-CN"/>
              </w:rPr>
              <w:t>3</w:t>
            </w:r>
          </w:p>
        </w:tc>
        <w:tc>
          <w:tcPr>
            <w:tcW w:w="742" w:type="dxa"/>
            <w:vAlign w:val="center"/>
          </w:tcPr>
          <w:p>
            <w:pPr>
              <w:spacing w:line="300" w:lineRule="exact"/>
              <w:ind w:left="0" w:firstLine="0"/>
              <w:jc w:val="center"/>
              <w:rPr>
                <w:rFonts w:hint="default" w:ascii="仿宋_GB2312" w:hAnsi="宋体" w:eastAsia="仿宋_GB2312" w:cs="宋体"/>
                <w:color w:val="auto"/>
                <w:kern w:val="0"/>
                <w:szCs w:val="21"/>
                <w:lang w:val="en-US"/>
              </w:rPr>
            </w:pPr>
            <w:r>
              <w:rPr>
                <w:rFonts w:hint="eastAsia" w:ascii="仿宋_GB2312" w:hAnsi="宋体" w:eastAsia="仿宋_GB2312" w:cs="宋体"/>
                <w:color w:val="auto"/>
                <w:kern w:val="0"/>
                <w:szCs w:val="21"/>
              </w:rPr>
              <w:t>202</w:t>
            </w:r>
            <w:r>
              <w:rPr>
                <w:rFonts w:hint="eastAsia" w:ascii="仿宋_GB2312" w:hAnsi="宋体" w:eastAsia="仿宋_GB2312" w:cs="宋体"/>
                <w:color w:val="auto"/>
                <w:kern w:val="0"/>
                <w:szCs w:val="21"/>
                <w:lang w:val="en-US" w:eastAsia="zh-CN"/>
              </w:rPr>
              <w:t>3</w:t>
            </w:r>
            <w:r>
              <w:rPr>
                <w:rFonts w:hint="eastAsia" w:ascii="仿宋_GB2312" w:hAnsi="宋体" w:eastAsia="仿宋_GB2312" w:cs="宋体"/>
                <w:color w:val="auto"/>
                <w:kern w:val="0"/>
                <w:szCs w:val="21"/>
              </w:rPr>
              <w:t>G</w:t>
            </w:r>
            <w:r>
              <w:rPr>
                <w:rFonts w:hint="eastAsia" w:ascii="仿宋_GB2312" w:hAnsi="宋体" w:eastAsia="仿宋_GB2312" w:cs="宋体"/>
                <w:color w:val="auto"/>
                <w:kern w:val="0"/>
                <w:szCs w:val="21"/>
                <w:lang w:val="en-US" w:eastAsia="zh-CN"/>
              </w:rPr>
              <w:t>D-48-03</w:t>
            </w:r>
          </w:p>
        </w:tc>
        <w:tc>
          <w:tcPr>
            <w:tcW w:w="883" w:type="dxa"/>
            <w:vAlign w:val="center"/>
          </w:tcPr>
          <w:p>
            <w:pPr>
              <w:spacing w:line="300" w:lineRule="exact"/>
              <w:ind w:left="0" w:firstLine="0"/>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eastAsia="zh-CN"/>
              </w:rPr>
              <w:t>低碳产业园（海南区）</w:t>
            </w:r>
          </w:p>
        </w:tc>
        <w:tc>
          <w:tcPr>
            <w:tcW w:w="1059" w:type="dxa"/>
            <w:vAlign w:val="center"/>
          </w:tcPr>
          <w:p>
            <w:pPr>
              <w:spacing w:line="300" w:lineRule="exact"/>
              <w:ind w:left="0" w:firstLine="0"/>
              <w:jc w:val="center"/>
              <w:rPr>
                <w:rFonts w:hint="eastAsia" w:ascii="仿宋" w:hAnsi="仿宋" w:eastAsia="仿宋" w:cs="仿宋"/>
                <w:color w:val="auto"/>
                <w:kern w:val="2"/>
                <w:sz w:val="21"/>
                <w:szCs w:val="21"/>
                <w:highlight w:val="none"/>
                <w:vertAlign w:val="baseline"/>
                <w:lang w:val="en-US" w:eastAsia="zh-CN" w:bidi="ar"/>
              </w:rPr>
            </w:pPr>
            <w:r>
              <w:rPr>
                <w:rFonts w:hint="eastAsia" w:ascii="仿宋" w:hAnsi="仿宋" w:eastAsia="仿宋" w:cs="仿宋"/>
                <w:color w:val="auto"/>
                <w:kern w:val="2"/>
                <w:sz w:val="21"/>
                <w:szCs w:val="21"/>
                <w:highlight w:val="none"/>
                <w:vertAlign w:val="baseline"/>
                <w:lang w:val="en-US" w:eastAsia="zh-CN" w:bidi="ar"/>
              </w:rPr>
              <w:t>4226.49平方米（约6.3亩）</w:t>
            </w:r>
          </w:p>
        </w:tc>
        <w:tc>
          <w:tcPr>
            <w:tcW w:w="655"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商业用地</w:t>
            </w:r>
          </w:p>
        </w:tc>
        <w:tc>
          <w:tcPr>
            <w:tcW w:w="618" w:type="dxa"/>
            <w:vAlign w:val="center"/>
          </w:tcPr>
          <w:p>
            <w:pPr>
              <w:spacing w:line="300" w:lineRule="exact"/>
              <w:ind w:left="0" w:firstLine="0"/>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eastAsia="zh-CN"/>
              </w:rPr>
              <w:t>＜2.5</w:t>
            </w:r>
          </w:p>
        </w:tc>
        <w:tc>
          <w:tcPr>
            <w:tcW w:w="756" w:type="dxa"/>
            <w:vAlign w:val="center"/>
          </w:tcPr>
          <w:p>
            <w:pPr>
              <w:spacing w:line="300" w:lineRule="exact"/>
              <w:ind w:left="0" w:firstLine="0"/>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eastAsia="zh-CN"/>
              </w:rPr>
              <w:t>≤</w:t>
            </w:r>
            <w:r>
              <w:rPr>
                <w:rFonts w:hint="eastAsia" w:ascii="仿宋_GB2312" w:hAnsi="宋体" w:eastAsia="仿宋_GB2312" w:cs="宋体"/>
                <w:color w:val="auto"/>
                <w:kern w:val="0"/>
                <w:szCs w:val="21"/>
                <w:lang w:val="en-US" w:eastAsia="zh-CN"/>
              </w:rPr>
              <w:t>40</w:t>
            </w:r>
            <w:r>
              <w:rPr>
                <w:rFonts w:hint="eastAsia" w:ascii="仿宋_GB2312" w:hAnsi="宋体" w:eastAsia="仿宋_GB2312" w:cs="宋体"/>
                <w:color w:val="auto"/>
                <w:kern w:val="0"/>
                <w:szCs w:val="21"/>
                <w:lang w:eastAsia="zh-CN"/>
              </w:rPr>
              <w:t>米</w:t>
            </w:r>
          </w:p>
          <w:p>
            <w:pPr>
              <w:spacing w:line="300" w:lineRule="exact"/>
              <w:ind w:left="0" w:firstLine="0"/>
              <w:jc w:val="center"/>
              <w:rPr>
                <w:rFonts w:hint="eastAsia" w:ascii="仿宋_GB2312" w:hAnsi="宋体" w:eastAsia="仿宋_GB2312" w:cs="宋体"/>
                <w:color w:val="auto"/>
                <w:kern w:val="0"/>
                <w:szCs w:val="21"/>
                <w:lang w:val="en-US" w:eastAsia="zh-CN"/>
              </w:rPr>
            </w:pPr>
          </w:p>
        </w:tc>
        <w:tc>
          <w:tcPr>
            <w:tcW w:w="630" w:type="dxa"/>
            <w:vAlign w:val="center"/>
          </w:tcPr>
          <w:p>
            <w:pPr>
              <w:spacing w:line="300" w:lineRule="exact"/>
              <w:ind w:left="0" w:firstLine="0"/>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eastAsia="zh-CN"/>
              </w:rPr>
              <w:t>≤</w:t>
            </w:r>
            <w:r>
              <w:rPr>
                <w:rFonts w:hint="eastAsia" w:ascii="仿宋_GB2312" w:hAnsi="宋体" w:eastAsia="仿宋_GB2312" w:cs="宋体"/>
                <w:color w:val="auto"/>
                <w:kern w:val="0"/>
                <w:szCs w:val="21"/>
                <w:lang w:val="en-US" w:eastAsia="zh-CN"/>
              </w:rPr>
              <w:t>40</w:t>
            </w:r>
            <w:r>
              <w:rPr>
                <w:rFonts w:hint="eastAsia" w:ascii="仿宋_GB2312" w:hAnsi="宋体" w:eastAsia="仿宋_GB2312" w:cs="宋体"/>
                <w:color w:val="auto"/>
                <w:kern w:val="0"/>
                <w:szCs w:val="21"/>
                <w:lang w:eastAsia="zh-CN"/>
              </w:rPr>
              <w:t>%</w:t>
            </w:r>
          </w:p>
        </w:tc>
        <w:tc>
          <w:tcPr>
            <w:tcW w:w="807" w:type="dxa"/>
            <w:tcBorders>
              <w:top w:val="single" w:color="auto" w:sz="4" w:space="0"/>
              <w:bottom w:val="single" w:color="auto" w:sz="4" w:space="0"/>
            </w:tcBorders>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≥30%</w:t>
            </w:r>
          </w:p>
          <w:p>
            <w:pPr>
              <w:spacing w:line="300" w:lineRule="exact"/>
              <w:ind w:left="0" w:firstLine="0"/>
              <w:jc w:val="center"/>
              <w:rPr>
                <w:rFonts w:hint="default" w:ascii="仿宋_GB2312" w:hAnsi="宋体" w:eastAsia="仿宋_GB2312" w:cs="宋体"/>
                <w:color w:val="auto"/>
                <w:kern w:val="0"/>
                <w:szCs w:val="21"/>
                <w:lang w:val="en-US" w:eastAsia="zh-CN"/>
              </w:rPr>
            </w:pPr>
          </w:p>
        </w:tc>
        <w:tc>
          <w:tcPr>
            <w:tcW w:w="794"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p>
        </w:tc>
        <w:tc>
          <w:tcPr>
            <w:tcW w:w="630" w:type="dxa"/>
            <w:vAlign w:val="center"/>
          </w:tcPr>
          <w:p>
            <w:pPr>
              <w:spacing w:line="300" w:lineRule="exact"/>
              <w:ind w:left="0" w:firstLine="0"/>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商业用地：40年</w:t>
            </w:r>
          </w:p>
        </w:tc>
        <w:tc>
          <w:tcPr>
            <w:tcW w:w="996"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431.1020</w:t>
            </w:r>
          </w:p>
        </w:tc>
        <w:tc>
          <w:tcPr>
            <w:tcW w:w="996"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431.1020</w:t>
            </w:r>
          </w:p>
        </w:tc>
        <w:tc>
          <w:tcPr>
            <w:tcW w:w="1646" w:type="dxa"/>
            <w:vAlign w:val="center"/>
          </w:tcPr>
          <w:p>
            <w:pPr>
              <w:spacing w:line="300" w:lineRule="exact"/>
              <w:ind w:left="0" w:firstLine="0"/>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地块的面积、规划方案等均以乌海市国土空间规划委员会最终批准方案为准。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4" w:hRule="atLeast"/>
          <w:jc w:val="center"/>
        </w:trPr>
        <w:tc>
          <w:tcPr>
            <w:tcW w:w="262" w:type="dxa"/>
            <w:vAlign w:val="center"/>
          </w:tcPr>
          <w:p>
            <w:pPr>
              <w:pStyle w:val="30"/>
              <w:jc w:val="center"/>
              <w:rPr>
                <w:rFonts w:hint="default" w:ascii="仿宋" w:hAnsi="仿宋" w:eastAsia="仿宋"/>
                <w:color w:val="auto"/>
                <w:lang w:val="en-US" w:eastAsia="zh-CN"/>
              </w:rPr>
            </w:pPr>
            <w:r>
              <w:rPr>
                <w:rFonts w:hint="eastAsia" w:ascii="仿宋" w:hAnsi="仿宋" w:eastAsia="仿宋"/>
                <w:color w:val="auto"/>
                <w:lang w:val="en-US" w:eastAsia="zh-CN"/>
              </w:rPr>
              <w:t>4</w:t>
            </w:r>
          </w:p>
        </w:tc>
        <w:tc>
          <w:tcPr>
            <w:tcW w:w="742" w:type="dxa"/>
            <w:vAlign w:val="center"/>
          </w:tcPr>
          <w:p>
            <w:pPr>
              <w:spacing w:line="300" w:lineRule="exact"/>
              <w:ind w:left="0" w:firstLine="0"/>
              <w:jc w:val="center"/>
              <w:rPr>
                <w:rFonts w:hint="default" w:ascii="仿宋_GB2312" w:hAnsi="宋体" w:eastAsia="仿宋_GB2312" w:cs="宋体"/>
                <w:color w:val="auto"/>
                <w:kern w:val="0"/>
                <w:szCs w:val="21"/>
                <w:lang w:val="en-US"/>
              </w:rPr>
            </w:pPr>
            <w:r>
              <w:rPr>
                <w:rFonts w:hint="eastAsia" w:ascii="仿宋_GB2312" w:hAnsi="宋体" w:eastAsia="仿宋_GB2312" w:cs="宋体"/>
                <w:color w:val="auto"/>
                <w:kern w:val="0"/>
                <w:szCs w:val="21"/>
              </w:rPr>
              <w:t>202</w:t>
            </w:r>
            <w:r>
              <w:rPr>
                <w:rFonts w:hint="eastAsia" w:ascii="仿宋_GB2312" w:hAnsi="宋体" w:eastAsia="仿宋_GB2312" w:cs="宋体"/>
                <w:color w:val="auto"/>
                <w:kern w:val="0"/>
                <w:szCs w:val="21"/>
                <w:lang w:val="en-US" w:eastAsia="zh-CN"/>
              </w:rPr>
              <w:t>3</w:t>
            </w:r>
            <w:r>
              <w:rPr>
                <w:rFonts w:hint="eastAsia" w:ascii="仿宋_GB2312" w:hAnsi="宋体" w:eastAsia="仿宋_GB2312" w:cs="宋体"/>
                <w:color w:val="auto"/>
                <w:kern w:val="0"/>
                <w:szCs w:val="21"/>
              </w:rPr>
              <w:t>G</w:t>
            </w:r>
            <w:r>
              <w:rPr>
                <w:rFonts w:hint="eastAsia" w:ascii="仿宋_GB2312" w:hAnsi="宋体" w:eastAsia="仿宋_GB2312" w:cs="宋体"/>
                <w:color w:val="auto"/>
                <w:kern w:val="0"/>
                <w:szCs w:val="21"/>
                <w:lang w:val="en-US" w:eastAsia="zh-CN"/>
              </w:rPr>
              <w:t>D-48-04</w:t>
            </w:r>
          </w:p>
        </w:tc>
        <w:tc>
          <w:tcPr>
            <w:tcW w:w="883" w:type="dxa"/>
            <w:vAlign w:val="center"/>
          </w:tcPr>
          <w:p>
            <w:pPr>
              <w:spacing w:line="300" w:lineRule="exact"/>
              <w:ind w:left="0" w:firstLine="0"/>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eastAsia="zh-CN"/>
              </w:rPr>
              <w:t>低碳产业园（海南区）</w:t>
            </w:r>
          </w:p>
        </w:tc>
        <w:tc>
          <w:tcPr>
            <w:tcW w:w="1059" w:type="dxa"/>
            <w:vAlign w:val="center"/>
          </w:tcPr>
          <w:p>
            <w:pPr>
              <w:spacing w:line="300" w:lineRule="exact"/>
              <w:ind w:left="0" w:firstLine="0"/>
              <w:jc w:val="center"/>
              <w:rPr>
                <w:rFonts w:hint="eastAsia" w:ascii="仿宋" w:hAnsi="仿宋" w:eastAsia="仿宋" w:cs="仿宋"/>
                <w:color w:val="auto"/>
                <w:kern w:val="2"/>
                <w:sz w:val="21"/>
                <w:szCs w:val="21"/>
                <w:highlight w:val="none"/>
                <w:vertAlign w:val="baseline"/>
                <w:lang w:val="en-US" w:eastAsia="zh-CN" w:bidi="ar"/>
              </w:rPr>
            </w:pPr>
            <w:r>
              <w:rPr>
                <w:rFonts w:hint="eastAsia" w:ascii="仿宋" w:hAnsi="仿宋" w:eastAsia="仿宋" w:cs="仿宋"/>
                <w:color w:val="auto"/>
                <w:kern w:val="2"/>
                <w:sz w:val="21"/>
                <w:szCs w:val="21"/>
                <w:highlight w:val="none"/>
                <w:vertAlign w:val="baseline"/>
                <w:lang w:val="en-US" w:eastAsia="zh-CN" w:bidi="ar"/>
              </w:rPr>
              <w:t>267784.83平方米（约401亩）</w:t>
            </w:r>
          </w:p>
        </w:tc>
        <w:tc>
          <w:tcPr>
            <w:tcW w:w="655"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工业用地</w:t>
            </w:r>
          </w:p>
        </w:tc>
        <w:tc>
          <w:tcPr>
            <w:tcW w:w="618" w:type="dxa"/>
            <w:vAlign w:val="center"/>
          </w:tcPr>
          <w:p>
            <w:pPr>
              <w:spacing w:line="300" w:lineRule="exact"/>
              <w:ind w:left="0" w:firstLine="0"/>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eastAsia="zh-CN"/>
              </w:rPr>
              <w:t>≥0.7</w:t>
            </w:r>
          </w:p>
          <w:p>
            <w:pPr>
              <w:spacing w:line="300" w:lineRule="exact"/>
              <w:ind w:left="0" w:firstLine="0"/>
              <w:jc w:val="center"/>
              <w:rPr>
                <w:rFonts w:hint="eastAsia" w:ascii="仿宋_GB2312" w:hAnsi="宋体" w:eastAsia="仿宋_GB2312" w:cs="宋体"/>
                <w:color w:val="auto"/>
                <w:kern w:val="0"/>
                <w:szCs w:val="21"/>
                <w:lang w:eastAsia="zh-CN"/>
              </w:rPr>
            </w:pPr>
          </w:p>
        </w:tc>
        <w:tc>
          <w:tcPr>
            <w:tcW w:w="756"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≤30米</w:t>
            </w:r>
          </w:p>
          <w:p>
            <w:pPr>
              <w:spacing w:line="300" w:lineRule="exact"/>
              <w:ind w:left="0" w:firstLine="0"/>
              <w:jc w:val="center"/>
              <w:rPr>
                <w:rFonts w:hint="eastAsia" w:ascii="仿宋_GB2312" w:hAnsi="宋体" w:eastAsia="仿宋_GB2312" w:cs="宋体"/>
                <w:color w:val="auto"/>
                <w:kern w:val="0"/>
                <w:szCs w:val="21"/>
                <w:lang w:val="en-US" w:eastAsia="zh-CN"/>
              </w:rPr>
            </w:pPr>
          </w:p>
        </w:tc>
        <w:tc>
          <w:tcPr>
            <w:tcW w:w="630" w:type="dxa"/>
            <w:vAlign w:val="center"/>
          </w:tcPr>
          <w:p>
            <w:pPr>
              <w:spacing w:line="300" w:lineRule="exact"/>
              <w:ind w:left="0" w:firstLine="0"/>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eastAsia="zh-CN"/>
              </w:rPr>
              <w:t>≥30%</w:t>
            </w:r>
          </w:p>
          <w:p>
            <w:pPr>
              <w:spacing w:line="300" w:lineRule="exact"/>
              <w:ind w:left="0" w:firstLine="0"/>
              <w:jc w:val="center"/>
              <w:rPr>
                <w:rFonts w:hint="eastAsia" w:ascii="仿宋_GB2312" w:hAnsi="宋体" w:eastAsia="仿宋_GB2312" w:cs="宋体"/>
                <w:color w:val="auto"/>
                <w:kern w:val="0"/>
                <w:szCs w:val="21"/>
                <w:lang w:eastAsia="zh-CN"/>
              </w:rPr>
            </w:pPr>
          </w:p>
        </w:tc>
        <w:tc>
          <w:tcPr>
            <w:tcW w:w="807" w:type="dxa"/>
            <w:tcBorders>
              <w:top w:val="single" w:color="auto" w:sz="4" w:space="0"/>
              <w:bottom w:val="single" w:color="auto" w:sz="4" w:space="0"/>
            </w:tcBorders>
            <w:vAlign w:val="center"/>
          </w:tcPr>
          <w:p>
            <w:pPr>
              <w:spacing w:line="300" w:lineRule="exact"/>
              <w:ind w:left="0" w:firstLine="0"/>
              <w:jc w:val="center"/>
              <w:rPr>
                <w:rFonts w:hint="default" w:ascii="仿宋_GB2312" w:hAnsi="宋体" w:eastAsia="仿宋_GB2312" w:cs="宋体"/>
                <w:color w:val="auto"/>
                <w:kern w:val="0"/>
                <w:szCs w:val="21"/>
                <w:lang w:val="en-US" w:eastAsia="zh-CN"/>
              </w:rPr>
            </w:pPr>
            <w:r>
              <w:rPr>
                <w:rFonts w:hint="default" w:ascii="仿宋_GB2312" w:hAnsi="宋体" w:eastAsia="仿宋_GB2312" w:cs="宋体"/>
                <w:color w:val="auto"/>
                <w:kern w:val="0"/>
                <w:szCs w:val="21"/>
                <w:lang w:val="en-US" w:eastAsia="zh-CN"/>
              </w:rPr>
              <w:t>≤20%</w:t>
            </w:r>
          </w:p>
          <w:p>
            <w:pPr>
              <w:spacing w:line="300" w:lineRule="exact"/>
              <w:ind w:left="0" w:firstLine="0"/>
              <w:jc w:val="center"/>
              <w:rPr>
                <w:rFonts w:hint="default" w:ascii="仿宋_GB2312" w:hAnsi="宋体" w:eastAsia="仿宋_GB2312" w:cs="宋体"/>
                <w:color w:val="auto"/>
                <w:kern w:val="0"/>
                <w:szCs w:val="21"/>
                <w:lang w:val="en-US" w:eastAsia="zh-CN"/>
              </w:rPr>
            </w:pPr>
          </w:p>
        </w:tc>
        <w:tc>
          <w:tcPr>
            <w:tcW w:w="794"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p>
        </w:tc>
        <w:tc>
          <w:tcPr>
            <w:tcW w:w="630" w:type="dxa"/>
            <w:vAlign w:val="center"/>
          </w:tcPr>
          <w:p>
            <w:pPr>
              <w:spacing w:line="300" w:lineRule="exact"/>
              <w:ind w:left="0" w:firstLine="0"/>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工业用地：50年</w:t>
            </w:r>
          </w:p>
        </w:tc>
        <w:tc>
          <w:tcPr>
            <w:tcW w:w="996"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2517.1774</w:t>
            </w:r>
          </w:p>
        </w:tc>
        <w:tc>
          <w:tcPr>
            <w:tcW w:w="996"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2517.1774</w:t>
            </w:r>
          </w:p>
        </w:tc>
        <w:tc>
          <w:tcPr>
            <w:tcW w:w="1646" w:type="dxa"/>
            <w:vAlign w:val="center"/>
          </w:tcPr>
          <w:p>
            <w:pPr>
              <w:spacing w:line="300" w:lineRule="exact"/>
              <w:ind w:left="0" w:firstLine="0"/>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地块的面积、规划方案等均以乌海市国土空间规划委员会最终批准方案为准。</w:t>
            </w:r>
          </w:p>
          <w:p>
            <w:pPr>
              <w:spacing w:line="300" w:lineRule="exact"/>
              <w:ind w:left="0" w:leftChars="0" w:firstLine="0" w:firstLineChars="0"/>
              <w:jc w:val="both"/>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该地块以“标准地”出让，有意向者请与乌海高新技术产业开发区管委会联系。</w:t>
            </w:r>
          </w:p>
        </w:tc>
      </w:tr>
    </w:tbl>
    <w:p>
      <w:pPr>
        <w:tabs>
          <w:tab w:val="left" w:pos="7350"/>
        </w:tabs>
        <w:spacing w:line="560" w:lineRule="exact"/>
        <w:ind w:left="0" w:leftChars="0" w:firstLine="640" w:firstLineChars="200"/>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二、中华人民共和国境内外的法人、自然人和其他组织，除法律法规对申请人另有限制外，均可申请参加。本次挂牌不接受联合申请。</w:t>
      </w:r>
    </w:p>
    <w:p>
      <w:pPr>
        <w:tabs>
          <w:tab w:val="left" w:pos="7350"/>
        </w:tabs>
        <w:spacing w:line="560" w:lineRule="exact"/>
        <w:ind w:left="0" w:firstLine="640" w:firstLineChars="200"/>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工业项目用地，竞得人在项目审批时，除满足《工业项目建设用地控制指标》的要求外，还必须遵守城市规划、环境保护等法律法规，并符合国家的产业政策。</w:t>
      </w:r>
    </w:p>
    <w:p>
      <w:pPr>
        <w:tabs>
          <w:tab w:val="left" w:pos="7350"/>
        </w:tabs>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color w:val="auto"/>
          <w:sz w:val="32"/>
          <w:szCs w:val="32"/>
        </w:rPr>
        <w:t>房地产开发用地，申请竞买者须提交保证金不属于银行贷款、股东借款、转贷和募集资金的承诺书及商业金融机构的资信证明。</w:t>
      </w:r>
    </w:p>
    <w:p>
      <w:pPr>
        <w:tabs>
          <w:tab w:val="left" w:pos="7350"/>
        </w:tabs>
        <w:spacing w:line="560" w:lineRule="exact"/>
        <w:ind w:left="0" w:firstLine="640" w:firstLineChars="200"/>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三、</w:t>
      </w:r>
      <w:r>
        <w:rPr>
          <w:rStyle w:val="17"/>
          <w:rFonts w:hint="eastAsia" w:ascii="仿宋" w:hAnsi="仿宋" w:eastAsia="仿宋"/>
          <w:b w:val="0"/>
          <w:color w:val="auto"/>
          <w:sz w:val="32"/>
          <w:szCs w:val="32"/>
          <w:shd w:val="clear" w:color="auto" w:fill="FFFFFF"/>
        </w:rPr>
        <w:t>竞价原则</w:t>
      </w:r>
    </w:p>
    <w:p>
      <w:pPr>
        <w:tabs>
          <w:tab w:val="left" w:pos="7350"/>
        </w:tabs>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bCs/>
          <w:color w:val="auto"/>
          <w:sz w:val="32"/>
          <w:szCs w:val="32"/>
        </w:rPr>
        <w:t>本次国有建设用地使用权挂牌出让按照价高者得原则确定竞得人。</w:t>
      </w:r>
    </w:p>
    <w:p>
      <w:pPr>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cs="FangSong_GB2312"/>
          <w:color w:val="auto"/>
          <w:sz w:val="32"/>
          <w:szCs w:val="32"/>
        </w:rPr>
        <w:t>四、本次挂牌出让的公告时间为</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9</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12</w:t>
      </w:r>
      <w:r>
        <w:rPr>
          <w:rFonts w:hint="eastAsia" w:ascii="仿宋" w:hAnsi="仿宋" w:eastAsia="仿宋" w:cs="FangSong_GB2312"/>
          <w:color w:val="auto"/>
          <w:sz w:val="32"/>
          <w:szCs w:val="32"/>
          <w:highlight w:val="none"/>
        </w:rPr>
        <w:t>日至</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10</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1</w:t>
      </w:r>
      <w:r>
        <w:rPr>
          <w:rFonts w:hint="eastAsia" w:ascii="仿宋" w:hAnsi="仿宋" w:eastAsia="仿宋" w:cs="FangSong_GB2312"/>
          <w:color w:val="auto"/>
          <w:sz w:val="32"/>
          <w:szCs w:val="32"/>
          <w:highlight w:val="none"/>
        </w:rPr>
        <w:t>日，详细资料和具体要求，以挂牌出让文件为准。申请人可于</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9</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12</w:t>
      </w:r>
      <w:r>
        <w:rPr>
          <w:rFonts w:hint="eastAsia" w:ascii="仿宋" w:hAnsi="仿宋" w:eastAsia="仿宋" w:cs="FangSong_GB2312"/>
          <w:color w:val="auto"/>
          <w:sz w:val="32"/>
          <w:szCs w:val="32"/>
          <w:highlight w:val="none"/>
        </w:rPr>
        <w:t>日至</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10</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13</w:t>
      </w:r>
      <w:r>
        <w:rPr>
          <w:rFonts w:hint="eastAsia" w:ascii="仿宋" w:hAnsi="仿宋" w:eastAsia="仿宋" w:cs="FangSong_GB2312"/>
          <w:color w:val="auto"/>
          <w:sz w:val="32"/>
          <w:szCs w:val="32"/>
          <w:highlight w:val="none"/>
        </w:rPr>
        <w:t>日</w:t>
      </w:r>
      <w:r>
        <w:rPr>
          <w:rFonts w:hint="eastAsia" w:ascii="仿宋" w:hAnsi="仿宋" w:eastAsia="仿宋" w:cs="FangSong_GB2312"/>
          <w:color w:val="auto"/>
          <w:sz w:val="32"/>
          <w:szCs w:val="32"/>
        </w:rPr>
        <w:t>到乌海市公共资源交易中心或登陆网站（</w:t>
      </w:r>
      <w:r>
        <w:rPr>
          <w:rFonts w:ascii="仿宋" w:hAnsi="仿宋" w:eastAsia="仿宋" w:cs="FangSong_GB2312"/>
          <w:color w:val="auto"/>
          <w:sz w:val="32"/>
          <w:szCs w:val="32"/>
        </w:rPr>
        <w:t>http:// zrzy.wuhai.gov.cn/</w:t>
      </w:r>
      <w:r>
        <w:rPr>
          <w:rFonts w:hint="eastAsia" w:ascii="仿宋" w:hAnsi="仿宋" w:eastAsia="仿宋" w:cs="FangSong_GB2312"/>
          <w:color w:val="auto"/>
          <w:sz w:val="32"/>
          <w:szCs w:val="32"/>
        </w:rPr>
        <w:t>或</w:t>
      </w:r>
      <w:r>
        <w:rPr>
          <w:rFonts w:ascii="仿宋" w:hAnsi="仿宋" w:eastAsia="仿宋" w:cs="FangSong_GB2312"/>
          <w:color w:val="auto"/>
          <w:sz w:val="32"/>
          <w:szCs w:val="32"/>
        </w:rPr>
        <w:t>http://www.whggzy.com</w:t>
      </w:r>
      <w:r>
        <w:rPr>
          <w:rFonts w:hint="eastAsia" w:ascii="仿宋" w:hAnsi="仿宋" w:eastAsia="仿宋" w:cs="FangSong_GB2312"/>
          <w:color w:val="auto"/>
          <w:sz w:val="32"/>
          <w:szCs w:val="32"/>
        </w:rPr>
        <w:t>）或内蒙古自治区网上交易系统（</w:t>
      </w:r>
      <w:r>
        <w:rPr>
          <w:rFonts w:ascii="仿宋" w:hAnsi="仿宋" w:eastAsia="仿宋" w:cs="FangSong_GB2312"/>
          <w:color w:val="auto"/>
          <w:sz w:val="32"/>
          <w:szCs w:val="32"/>
        </w:rPr>
        <w:t>http://110.16.70.81:8090/trade-engine/trade/index</w:t>
      </w:r>
      <w:r>
        <w:rPr>
          <w:rFonts w:hint="eastAsia" w:ascii="仿宋" w:hAnsi="仿宋" w:eastAsia="仿宋" w:cs="FangSong_GB2312"/>
          <w:color w:val="auto"/>
          <w:sz w:val="32"/>
          <w:szCs w:val="32"/>
        </w:rPr>
        <w:t>）获取本次挂牌出让的出让须知和有关资料（不包括法定节假日）。</w:t>
      </w:r>
    </w:p>
    <w:p>
      <w:pPr>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cs="FangSong_GB2312"/>
          <w:color w:val="auto"/>
          <w:sz w:val="32"/>
          <w:szCs w:val="32"/>
        </w:rPr>
        <w:t>五、本次挂牌地点为乌海市公共资源交易中心，</w:t>
      </w:r>
      <w:r>
        <w:rPr>
          <w:rFonts w:hint="eastAsia" w:ascii="仿宋" w:hAnsi="仿宋" w:eastAsia="仿宋" w:cs="FangSong_GB2312"/>
          <w:color w:val="auto"/>
          <w:sz w:val="32"/>
          <w:szCs w:val="32"/>
          <w:highlight w:val="none"/>
        </w:rPr>
        <w:t>挂牌时间为</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FangSong_GB2312"/>
          <w:color w:val="auto"/>
          <w:sz w:val="32"/>
          <w:szCs w:val="32"/>
          <w:highlight w:val="none"/>
          <w:lang w:val="en-US" w:eastAsia="zh-CN"/>
        </w:rPr>
        <w:t>10</w:t>
      </w:r>
      <w:r>
        <w:rPr>
          <w:rFonts w:hint="eastAsia" w:ascii="仿宋" w:hAnsi="仿宋" w:eastAsia="仿宋" w:cs="FangSong_GB2312"/>
          <w:color w:val="auto"/>
          <w:sz w:val="32"/>
          <w:szCs w:val="32"/>
          <w:highlight w:val="none"/>
        </w:rPr>
        <w:t>月</w:t>
      </w:r>
      <w:r>
        <w:rPr>
          <w:rFonts w:hint="eastAsia" w:ascii="仿宋" w:hAnsi="仿宋" w:eastAsia="仿宋" w:cs="FangSong_GB2312"/>
          <w:color w:val="auto"/>
          <w:sz w:val="32"/>
          <w:szCs w:val="32"/>
          <w:highlight w:val="none"/>
          <w:lang w:val="en-US" w:eastAsia="zh-CN"/>
        </w:rPr>
        <w:t>7</w:t>
      </w:r>
      <w:r>
        <w:rPr>
          <w:rFonts w:hint="eastAsia" w:ascii="仿宋" w:hAnsi="仿宋" w:eastAsia="仿宋" w:cs="FangSong_GB2312"/>
          <w:color w:val="auto"/>
          <w:sz w:val="32"/>
          <w:szCs w:val="32"/>
          <w:highlight w:val="none"/>
        </w:rPr>
        <w:t>日</w:t>
      </w:r>
      <w:r>
        <w:rPr>
          <w:rFonts w:ascii="仿宋" w:hAnsi="仿宋" w:eastAsia="仿宋" w:cs="FangSong_GB2312"/>
          <w:color w:val="auto"/>
          <w:sz w:val="32"/>
          <w:szCs w:val="32"/>
          <w:highlight w:val="none"/>
        </w:rPr>
        <w:t>9</w:t>
      </w:r>
      <w:r>
        <w:rPr>
          <w:rFonts w:hint="eastAsia" w:ascii="仿宋" w:hAnsi="仿宋" w:eastAsia="仿宋" w:cs="FangSong_GB2312"/>
          <w:color w:val="auto"/>
          <w:sz w:val="32"/>
          <w:szCs w:val="32"/>
          <w:highlight w:val="none"/>
        </w:rPr>
        <w:t>：</w:t>
      </w:r>
      <w:r>
        <w:rPr>
          <w:rFonts w:ascii="仿宋" w:hAnsi="仿宋" w:eastAsia="仿宋" w:cs="FangSong_GB2312"/>
          <w:color w:val="auto"/>
          <w:sz w:val="32"/>
          <w:szCs w:val="32"/>
          <w:highlight w:val="none"/>
        </w:rPr>
        <w:t>00</w:t>
      </w:r>
      <w:r>
        <w:rPr>
          <w:rFonts w:hint="eastAsia" w:ascii="仿宋" w:hAnsi="仿宋" w:eastAsia="仿宋" w:cs="FangSong_GB2312"/>
          <w:color w:val="auto"/>
          <w:sz w:val="32"/>
          <w:szCs w:val="32"/>
          <w:highlight w:val="none"/>
        </w:rPr>
        <w:t>时至</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FangSong_GB2312"/>
          <w:color w:val="auto"/>
          <w:sz w:val="32"/>
          <w:szCs w:val="32"/>
          <w:highlight w:val="none"/>
          <w:lang w:val="en-US" w:eastAsia="zh-CN"/>
        </w:rPr>
        <w:t>10</w:t>
      </w:r>
      <w:r>
        <w:rPr>
          <w:rFonts w:hint="eastAsia" w:ascii="仿宋" w:hAnsi="仿宋" w:eastAsia="仿宋" w:cs="FangSong_GB2312"/>
          <w:color w:val="auto"/>
          <w:sz w:val="32"/>
          <w:szCs w:val="32"/>
          <w:highlight w:val="none"/>
        </w:rPr>
        <w:t>月</w:t>
      </w:r>
      <w:r>
        <w:rPr>
          <w:rFonts w:hint="eastAsia" w:ascii="仿宋" w:hAnsi="仿宋" w:eastAsia="仿宋" w:cs="FangSong_GB2312"/>
          <w:color w:val="auto"/>
          <w:sz w:val="32"/>
          <w:szCs w:val="32"/>
          <w:highlight w:val="none"/>
          <w:lang w:val="en-US" w:eastAsia="zh-CN"/>
        </w:rPr>
        <w:t>18</w:t>
      </w:r>
      <w:r>
        <w:rPr>
          <w:rFonts w:hint="eastAsia" w:ascii="仿宋" w:hAnsi="仿宋" w:eastAsia="仿宋" w:cs="FangSong_GB2312"/>
          <w:color w:val="auto"/>
          <w:sz w:val="32"/>
          <w:szCs w:val="32"/>
          <w:highlight w:val="none"/>
        </w:rPr>
        <w:t>日</w:t>
      </w:r>
      <w:r>
        <w:rPr>
          <w:rFonts w:ascii="仿宋" w:hAnsi="仿宋" w:eastAsia="仿宋" w:cs="FangSong_GB2312"/>
          <w:color w:val="auto"/>
          <w:sz w:val="32"/>
          <w:szCs w:val="32"/>
          <w:highlight w:val="none"/>
        </w:rPr>
        <w:t>16</w:t>
      </w:r>
      <w:r>
        <w:rPr>
          <w:rFonts w:hint="eastAsia" w:ascii="仿宋" w:hAnsi="仿宋" w:eastAsia="仿宋" w:cs="FangSong_GB2312"/>
          <w:color w:val="auto"/>
          <w:sz w:val="32"/>
          <w:szCs w:val="32"/>
          <w:highlight w:val="none"/>
        </w:rPr>
        <w:t>：</w:t>
      </w:r>
      <w:r>
        <w:rPr>
          <w:rFonts w:ascii="仿宋" w:hAnsi="仿宋" w:eastAsia="仿宋" w:cs="FangSong_GB2312"/>
          <w:color w:val="auto"/>
          <w:sz w:val="32"/>
          <w:szCs w:val="32"/>
          <w:highlight w:val="none"/>
        </w:rPr>
        <w:t>00</w:t>
      </w:r>
      <w:r>
        <w:rPr>
          <w:rFonts w:hint="eastAsia" w:ascii="仿宋" w:hAnsi="仿宋" w:eastAsia="仿宋" w:cs="FangSong_GB2312"/>
          <w:color w:val="auto"/>
          <w:sz w:val="32"/>
          <w:szCs w:val="32"/>
          <w:highlight w:val="none"/>
        </w:rPr>
        <w:t>时</w:t>
      </w:r>
      <w:r>
        <w:rPr>
          <w:rFonts w:hint="eastAsia" w:ascii="仿宋" w:hAnsi="仿宋" w:eastAsia="仿宋" w:cs="FangSong_GB2312"/>
          <w:color w:val="auto"/>
          <w:sz w:val="32"/>
          <w:szCs w:val="32"/>
        </w:rPr>
        <w:t>（不包括法定节假日）。</w:t>
      </w:r>
    </w:p>
    <w:p>
      <w:pPr>
        <w:spacing w:line="560" w:lineRule="exact"/>
        <w:ind w:left="0" w:firstLine="645"/>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六、本次土地挂牌出让采用网上竞买申请的方式。竞买人在报名期内登录“内蒙古自治区国土资源网上交易系统”使用CA证书获取预申购资源的竞买申请书。</w:t>
      </w:r>
    </w:p>
    <w:p>
      <w:pPr>
        <w:spacing w:line="560" w:lineRule="exact"/>
        <w:ind w:left="0" w:firstLine="645"/>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CA证书的办理流程详见乌海市公共资源交易中心网站办事指南中CA办理指南。</w:t>
      </w:r>
    </w:p>
    <w:p>
      <w:pPr>
        <w:spacing w:line="560" w:lineRule="exact"/>
        <w:ind w:left="0" w:firstLine="645"/>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七、</w:t>
      </w:r>
      <w:r>
        <w:rPr>
          <w:rFonts w:hint="eastAsia" w:ascii="仿宋" w:hAnsi="仿宋" w:eastAsia="仿宋"/>
          <w:color w:val="auto"/>
          <w:sz w:val="32"/>
          <w:szCs w:val="32"/>
          <w:shd w:val="clear" w:color="auto" w:fill="FFFFFF"/>
        </w:rPr>
        <w:t>竞买保证金缴纳</w:t>
      </w:r>
    </w:p>
    <w:p>
      <w:pPr>
        <w:spacing w:line="560" w:lineRule="exact"/>
        <w:ind w:left="0" w:firstLine="645"/>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交纳竞买保证金的截止时间为</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10</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13</w:t>
      </w:r>
      <w:r>
        <w:rPr>
          <w:rFonts w:hint="eastAsia" w:ascii="仿宋" w:hAnsi="仿宋" w:eastAsia="仿宋" w:cs="FangSong_GB2312"/>
          <w:color w:val="auto"/>
          <w:sz w:val="32"/>
          <w:szCs w:val="32"/>
          <w:highlight w:val="none"/>
        </w:rPr>
        <w:t>日</w:t>
      </w:r>
      <w:r>
        <w:rPr>
          <w:rFonts w:ascii="仿宋" w:hAnsi="仿宋" w:eastAsia="仿宋" w:cs="FangSong_GB2312"/>
          <w:color w:val="auto"/>
          <w:sz w:val="32"/>
          <w:szCs w:val="32"/>
          <w:highlight w:val="none"/>
        </w:rPr>
        <w:t>16</w:t>
      </w:r>
      <w:r>
        <w:rPr>
          <w:rFonts w:hint="eastAsia" w:ascii="仿宋" w:hAnsi="仿宋" w:eastAsia="仿宋" w:cs="FangSong_GB2312"/>
          <w:color w:val="auto"/>
          <w:sz w:val="32"/>
          <w:szCs w:val="32"/>
          <w:highlight w:val="none"/>
        </w:rPr>
        <w:t>：</w:t>
      </w:r>
      <w:r>
        <w:rPr>
          <w:rFonts w:ascii="仿宋" w:hAnsi="仿宋" w:eastAsia="仿宋" w:cs="FangSong_GB2312"/>
          <w:color w:val="auto"/>
          <w:sz w:val="32"/>
          <w:szCs w:val="32"/>
          <w:highlight w:val="none"/>
        </w:rPr>
        <w:t>00</w:t>
      </w:r>
      <w:r>
        <w:rPr>
          <w:rFonts w:hint="eastAsia" w:ascii="仿宋" w:hAnsi="仿宋" w:eastAsia="仿宋" w:cs="FangSong_GB2312"/>
          <w:color w:val="auto"/>
          <w:sz w:val="32"/>
          <w:szCs w:val="32"/>
          <w:highlight w:val="none"/>
        </w:rPr>
        <w:t>时。</w:t>
      </w:r>
    </w:p>
    <w:p>
      <w:pPr>
        <w:spacing w:line="560" w:lineRule="exact"/>
        <w:ind w:left="0" w:firstLine="640" w:firstLineChars="200"/>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auto"/>
          <w:sz w:val="32"/>
          <w:szCs w:val="32"/>
        </w:rPr>
        <w:t>八、确定竞得人的标准和方法</w:t>
      </w:r>
    </w:p>
    <w:p>
      <w:pPr>
        <w:spacing w:line="560" w:lineRule="exact"/>
        <w:ind w:left="0" w:firstLine="640" w:firstLineChars="200"/>
        <w:textAlignment w:val="baseline"/>
        <w:rPr>
          <w:rFonts w:ascii="仿宋" w:hAnsi="仿宋" w:eastAsia="仿宋" w:cs="FangSong_GB2312"/>
          <w:bCs/>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1、申请人按规定交纳竞买保证金，保证金到账后，内蒙古自治区国土资源网上交易系统自动确定该竞买人的竞买资格，签发相应宗地的《竞买资格确认书》</w:t>
      </w:r>
      <w:r>
        <w:rPr>
          <w:rFonts w:ascii="仿宋" w:hAnsi="仿宋" w:eastAsia="仿宋" w:cs="FangSong_GB2312"/>
          <w:bCs/>
          <w:color w:val="000000" w:themeColor="text1"/>
          <w:sz w:val="32"/>
          <w:szCs w:val="32"/>
          <w14:textFill>
            <w14:solidFill>
              <w14:schemeClr w14:val="tx1"/>
            </w14:solidFill>
          </w14:textFill>
        </w:rPr>
        <w:t>（以资金划入指定账户为准）</w:t>
      </w:r>
      <w:r>
        <w:rPr>
          <w:rFonts w:hint="eastAsia" w:ascii="仿宋" w:hAnsi="仿宋" w:eastAsia="仿宋" w:cs="FangSong_GB2312"/>
          <w:bCs/>
          <w:color w:val="000000" w:themeColor="text1"/>
          <w:sz w:val="32"/>
          <w:szCs w:val="32"/>
          <w14:textFill>
            <w14:solidFill>
              <w14:schemeClr w14:val="tx1"/>
            </w14:solidFill>
          </w14:textFill>
        </w:rPr>
        <w:t>。</w:t>
      </w:r>
    </w:p>
    <w:p>
      <w:pPr>
        <w:spacing w:line="560" w:lineRule="exact"/>
        <w:ind w:left="0" w:firstLine="640" w:firstLineChars="200"/>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olor w:val="000000" w:themeColor="text1"/>
          <w:sz w:val="32"/>
          <w:szCs w:val="32"/>
          <w:shd w:val="clear" w:color="auto" w:fill="FFFFFF"/>
          <w14:textFill>
            <w14:solidFill>
              <w14:schemeClr w14:val="tx1"/>
            </w14:solidFill>
          </w14:textFill>
        </w:rPr>
        <w:t>2、取得《竞买资格确认书》的竞买人，在网上挂牌期限内，可通过CA证书登录系统后进行有效报价</w:t>
      </w:r>
      <w:r>
        <w:rPr>
          <w:rFonts w:hint="eastAsia" w:ascii="仿宋" w:hAnsi="仿宋" w:eastAsia="仿宋"/>
          <w:color w:val="FF0000"/>
          <w:sz w:val="32"/>
          <w:szCs w:val="32"/>
          <w:shd w:val="clear" w:color="auto" w:fill="FFFFFF"/>
          <w:lang w:eastAsia="zh-CN"/>
        </w:rPr>
        <w:t>（</w:t>
      </w:r>
      <w:r>
        <w:rPr>
          <w:rFonts w:hint="eastAsia" w:ascii="仿宋" w:hAnsi="仿宋" w:eastAsia="仿宋"/>
          <w:color w:val="FF0000"/>
          <w:sz w:val="32"/>
          <w:szCs w:val="32"/>
          <w:shd w:val="clear" w:color="auto" w:fill="FFFFFF"/>
          <w:lang w:val="en-US" w:eastAsia="zh-CN"/>
        </w:rPr>
        <w:t>提示：竞买人报价后可以刷新页面确定报价是否成功，请不要连续点击报价按钮，避免重复报价）</w:t>
      </w:r>
      <w:r>
        <w:rPr>
          <w:rFonts w:hint="eastAsia" w:ascii="仿宋" w:hAnsi="仿宋" w:eastAsia="仿宋"/>
          <w:color w:val="000000" w:themeColor="text1"/>
          <w:sz w:val="32"/>
          <w:szCs w:val="32"/>
          <w:shd w:val="clear" w:color="auto" w:fill="FFFFFF"/>
          <w14:textFill>
            <w14:solidFill>
              <w14:schemeClr w14:val="tx1"/>
            </w14:solidFill>
          </w14:textFill>
        </w:rPr>
        <w:t>，</w:t>
      </w:r>
      <w:r>
        <w:rPr>
          <w:rFonts w:hint="eastAsia" w:ascii="仿宋" w:hAnsi="仿宋" w:eastAsia="仿宋" w:cs="FangSong_GB2312"/>
          <w:color w:val="000000" w:themeColor="text1"/>
          <w:sz w:val="32"/>
          <w:szCs w:val="32"/>
          <w14:textFill>
            <w14:solidFill>
              <w14:schemeClr w14:val="tx1"/>
            </w14:solidFill>
          </w14:textFill>
        </w:rPr>
        <w:t>网上挂牌期限截止时，如果</w:t>
      </w:r>
      <w:r>
        <w:rPr>
          <w:rFonts w:hint="eastAsia" w:ascii="仿宋" w:hAnsi="仿宋" w:eastAsia="仿宋"/>
          <w:color w:val="000000" w:themeColor="text1"/>
          <w:sz w:val="32"/>
          <w:szCs w:val="32"/>
          <w14:textFill>
            <w14:solidFill>
              <w14:schemeClr w14:val="tx1"/>
            </w14:solidFill>
          </w14:textFill>
        </w:rPr>
        <w:t>只有一个竞买人报价：设有底价的资源，交易系统判定报价是否低于底价,高于底价且符合其他条件的确定其为预竞得人;低于底价的,挂牌不成交。不设置底价的系统直接确定其为预竞得人。</w:t>
      </w:r>
    </w:p>
    <w:p>
      <w:pPr>
        <w:spacing w:line="560" w:lineRule="exact"/>
        <w:ind w:left="0" w:firstLine="640" w:firstLineChars="200"/>
        <w:textAlignment w:val="baseline"/>
        <w:rPr>
          <w:rFonts w:ascii="仿宋" w:hAnsi="仿宋" w:eastAsia="仿宋"/>
          <w:color w:val="000000" w:themeColor="text1"/>
          <w:sz w:val="32"/>
          <w:szCs w:val="32"/>
          <w:shd w:val="clear" w:color="auto" w:fill="FFFFFF"/>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3、网上挂牌期限截止时，如果有两个以上（含两个）的竞买人报价的，网上挂牌报价时间截止，进入3分钟询问期，询问有资格的竞买人是否参与后续的限时竞价。限时竞价以4分钟为单位，在4分钟内，有任一竞买人提交新的报价，时间重新计时4分钟，直至无竞买人再出价，系统确定成交结果，出价最高且不低于底价的有效报价人为预竞得人。低于底价的，资源不成交。不设置底价的系统直接确定最高报价者为预竞得人。</w:t>
      </w:r>
    </w:p>
    <w:p>
      <w:pPr>
        <w:spacing w:line="560" w:lineRule="exact"/>
        <w:ind w:left="0" w:firstLine="640" w:firstLineChars="200"/>
        <w:textAlignment w:val="baseline"/>
        <w:rPr>
          <w:rFonts w:ascii="仿宋" w:hAnsi="仿宋" w:eastAsia="仿宋" w:cs="FangSong_GB2312"/>
          <w:b/>
          <w:color w:val="000000" w:themeColor="text1"/>
          <w:sz w:val="32"/>
          <w:szCs w:val="32"/>
          <w14:textFill>
            <w14:solidFill>
              <w14:schemeClr w14:val="tx1"/>
            </w14:solidFill>
          </w14:textFill>
        </w:rPr>
      </w:pPr>
      <w:r>
        <w:rPr>
          <w:rFonts w:hint="eastAsia" w:ascii="仿宋" w:hAnsi="仿宋" w:eastAsia="仿宋"/>
          <w:color w:val="000000" w:themeColor="text1"/>
          <w:sz w:val="32"/>
          <w:szCs w:val="32"/>
          <w:shd w:val="clear" w:color="auto" w:fill="FFFFFF"/>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网上挂牌期限截止时，无人报价的，挂牌结束，资源不成交。</w:t>
      </w:r>
    </w:p>
    <w:p>
      <w:pPr>
        <w:autoSpaceDE w:val="0"/>
        <w:spacing w:line="56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九、查询网址：</w:t>
      </w:r>
    </w:p>
    <w:p>
      <w:pPr>
        <w:autoSpaceDE w:val="0"/>
        <w:spacing w:line="560" w:lineRule="exact"/>
        <w:ind w:firstLine="640" w:firstLineChars="200"/>
        <w:jc w:val="left"/>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中国土地市场网</w:t>
      </w:r>
      <w:r>
        <w:rPr>
          <w:rFonts w:ascii="仿宋" w:hAnsi="仿宋" w:eastAsia="仿宋" w:cs="FangSong_GB2312"/>
          <w:color w:val="000000" w:themeColor="text1"/>
          <w:sz w:val="32"/>
          <w:szCs w:val="32"/>
          <w14:textFill>
            <w14:solidFill>
              <w14:schemeClr w14:val="tx1"/>
            </w14:solidFill>
          </w14:textFill>
        </w:rPr>
        <w:t xml:space="preserve"> (http://www.landchina.com)</w:t>
      </w:r>
    </w:p>
    <w:p>
      <w:pPr>
        <w:autoSpaceDE w:val="0"/>
        <w:spacing w:line="560" w:lineRule="exact"/>
        <w:ind w:firstLine="640" w:firstLineChars="200"/>
        <w:jc w:val="left"/>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乌海市自然资源局（</w:t>
      </w:r>
      <w:r>
        <w:rPr>
          <w:rFonts w:ascii="仿宋" w:hAnsi="仿宋" w:eastAsia="仿宋" w:cs="FangSong_GB2312"/>
          <w:color w:val="000000" w:themeColor="text1"/>
          <w:sz w:val="32"/>
          <w:szCs w:val="32"/>
          <w14:textFill>
            <w14:solidFill>
              <w14:schemeClr w14:val="tx1"/>
            </w14:solidFill>
          </w14:textFill>
        </w:rPr>
        <w:t>http://zrzy.wuhai.gov.cn/)</w:t>
      </w:r>
    </w:p>
    <w:p>
      <w:pPr>
        <w:autoSpaceDE w:val="0"/>
        <w:spacing w:line="560" w:lineRule="exact"/>
        <w:ind w:left="0" w:firstLine="640" w:firstLineChars="200"/>
        <w:jc w:val="left"/>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乌海市公共资源交易中心（</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"http://www.whggzy.com" </w:instrText>
      </w:r>
      <w:r>
        <w:rPr>
          <w:color w:val="000000" w:themeColor="text1"/>
          <w14:textFill>
            <w14:solidFill>
              <w14:schemeClr w14:val="tx1"/>
            </w14:solidFill>
          </w14:textFill>
        </w:rPr>
        <w:fldChar w:fldCharType="separate"/>
      </w:r>
      <w:r>
        <w:rPr>
          <w:rStyle w:val="19"/>
          <w:rFonts w:ascii="仿宋" w:hAnsi="仿宋" w:eastAsia="仿宋" w:cs="FangSong_GB2312"/>
          <w:color w:val="000000" w:themeColor="text1"/>
          <w:sz w:val="32"/>
          <w:szCs w:val="32"/>
          <w:u w:val="none"/>
          <w14:textFill>
            <w14:solidFill>
              <w14:schemeClr w14:val="tx1"/>
            </w14:solidFill>
          </w14:textFill>
        </w:rPr>
        <w:t>http://www.whggzy.com</w:t>
      </w:r>
      <w:r>
        <w:rPr>
          <w:rStyle w:val="19"/>
          <w:rFonts w:ascii="仿宋" w:hAnsi="仿宋" w:eastAsia="仿宋" w:cs="FangSong_GB2312"/>
          <w:color w:val="000000" w:themeColor="text1"/>
          <w:sz w:val="32"/>
          <w:szCs w:val="32"/>
          <w:u w:val="none"/>
          <w14:textFill>
            <w14:solidFill>
              <w14:schemeClr w14:val="tx1"/>
            </w14:solidFill>
          </w14:textFill>
        </w:rPr>
        <w:fldChar w:fldCharType="end"/>
      </w:r>
      <w:r>
        <w:rPr>
          <w:rFonts w:hint="eastAsia" w:ascii="仿宋" w:hAnsi="仿宋" w:eastAsia="仿宋" w:cs="FangSong_GB2312"/>
          <w:color w:val="000000" w:themeColor="text1"/>
          <w:sz w:val="32"/>
          <w:szCs w:val="32"/>
          <w14:textFill>
            <w14:solidFill>
              <w14:schemeClr w14:val="tx1"/>
            </w14:solidFill>
          </w14:textFill>
        </w:rPr>
        <w:t>）</w:t>
      </w:r>
    </w:p>
    <w:p>
      <w:pPr>
        <w:autoSpaceDE w:val="0"/>
        <w:spacing w:line="560" w:lineRule="exact"/>
        <w:ind w:left="0" w:firstLine="640" w:firstLineChars="200"/>
        <w:jc w:val="left"/>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内蒙古自治区公共资源交易网(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"http://ggzyjy.nmg.gov.cn/" </w:instrText>
      </w:r>
      <w:r>
        <w:rPr>
          <w:color w:val="000000" w:themeColor="text1"/>
          <w14:textFill>
            <w14:solidFill>
              <w14:schemeClr w14:val="tx1"/>
            </w14:solidFill>
          </w14:textFill>
        </w:rPr>
        <w:fldChar w:fldCharType="separate"/>
      </w:r>
      <w:r>
        <w:rPr>
          <w:rStyle w:val="19"/>
          <w:rFonts w:ascii="仿宋" w:hAnsi="仿宋" w:eastAsia="仿宋" w:cs="FangSong_GB2312"/>
          <w:color w:val="000000" w:themeColor="text1"/>
          <w:sz w:val="32"/>
          <w:szCs w:val="32"/>
          <w:u w:val="none"/>
          <w14:textFill>
            <w14:solidFill>
              <w14:schemeClr w14:val="tx1"/>
            </w14:solidFill>
          </w14:textFill>
        </w:rPr>
        <w:t>http://ggzyjy.nmg.gov.cn/</w:t>
      </w:r>
      <w:r>
        <w:rPr>
          <w:rStyle w:val="19"/>
          <w:rFonts w:ascii="仿宋" w:hAnsi="仿宋" w:eastAsia="仿宋" w:cs="FangSong_GB2312"/>
          <w:color w:val="000000" w:themeColor="text1"/>
          <w:sz w:val="32"/>
          <w:szCs w:val="32"/>
          <w:u w:val="none"/>
          <w14:textFill>
            <w14:solidFill>
              <w14:schemeClr w14:val="tx1"/>
            </w14:solidFill>
          </w14:textFill>
        </w:rPr>
        <w:fldChar w:fldCharType="end"/>
      </w:r>
      <w:r>
        <w:rPr>
          <w:rFonts w:hint="eastAsia" w:ascii="仿宋" w:hAnsi="仿宋" w:eastAsia="仿宋" w:cs="FangSong_GB2312"/>
          <w:color w:val="000000" w:themeColor="text1"/>
          <w:sz w:val="32"/>
          <w:szCs w:val="32"/>
          <w14:textFill>
            <w14:solidFill>
              <w14:schemeClr w14:val="tx1"/>
            </w14:solidFill>
          </w14:textFill>
        </w:rPr>
        <w:t>)</w:t>
      </w:r>
    </w:p>
    <w:p>
      <w:pPr>
        <w:autoSpaceDE w:val="0"/>
        <w:spacing w:line="560" w:lineRule="exact"/>
        <w:ind w:left="479" w:leftChars="228" w:firstLine="160" w:firstLineChars="5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内蒙古自治区自然资源网上交易系统（</w:t>
      </w:r>
      <w:r>
        <w:rPr>
          <w:rFonts w:ascii="仿宋" w:hAnsi="仿宋" w:eastAsia="仿宋" w:cs="FangSong_GB2312"/>
          <w:color w:val="000000" w:themeColor="text1"/>
          <w:sz w:val="32"/>
          <w:szCs w:val="32"/>
          <w14:textFill>
            <w14:solidFill>
              <w14:schemeClr w14:val="tx1"/>
            </w14:solidFill>
          </w14:textFill>
        </w:rPr>
        <w:t>http://110.16.70.81:8090/trade-engine/trade/index</w:t>
      </w:r>
      <w:r>
        <w:rPr>
          <w:rFonts w:hint="eastAsia" w:ascii="仿宋" w:hAnsi="仿宋" w:eastAsia="仿宋" w:cs="FangSong_GB2312"/>
          <w:color w:val="000000" w:themeColor="text1"/>
          <w:sz w:val="32"/>
          <w:szCs w:val="32"/>
          <w14:textFill>
            <w14:solidFill>
              <w14:schemeClr w14:val="tx1"/>
            </w14:solidFill>
          </w14:textFill>
        </w:rPr>
        <w:t>）</w:t>
      </w:r>
    </w:p>
    <w:p>
      <w:pPr>
        <w:spacing w:line="560" w:lineRule="exact"/>
        <w:ind w:left="0" w:firstLine="640" w:firstLineChars="200"/>
        <w:jc w:val="left"/>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十、乌海市公共资源交易中心联系人：</w:t>
      </w:r>
      <w:r>
        <w:rPr>
          <w:rFonts w:hint="eastAsia" w:ascii="仿宋" w:hAnsi="仿宋" w:eastAsia="仿宋"/>
          <w:color w:val="000000" w:themeColor="text1"/>
          <w:sz w:val="32"/>
          <w:szCs w:val="32"/>
          <w14:textFill>
            <w14:solidFill>
              <w14:schemeClr w14:val="tx1"/>
            </w14:solidFill>
          </w14:textFill>
        </w:rPr>
        <w:t xml:space="preserve">王工   张工 </w:t>
      </w:r>
    </w:p>
    <w:p>
      <w:pPr>
        <w:spacing w:line="560" w:lineRule="exact"/>
        <w:ind w:left="6380" w:leftChars="600" w:hanging="5120" w:hangingChars="1600"/>
        <w:jc w:val="left"/>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乌海市公共资源交易中心联系电话：0473-2999715  0473-2999760</w:t>
      </w:r>
    </w:p>
    <w:p>
      <w:pPr>
        <w:spacing w:line="560" w:lineRule="exact"/>
        <w:ind w:firstLine="1280" w:firstLineChars="400"/>
        <w:jc w:val="left"/>
        <w:textAlignment w:val="baseline"/>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乌海市自然资源局</w:t>
      </w:r>
      <w:r>
        <w:rPr>
          <w:rFonts w:hint="eastAsia" w:ascii="仿宋" w:hAnsi="仿宋" w:eastAsia="仿宋"/>
          <w:color w:val="000000" w:themeColor="text1"/>
          <w:sz w:val="32"/>
          <w:szCs w:val="32"/>
          <w:lang w:eastAsia="zh-CN"/>
          <w14:textFill>
            <w14:solidFill>
              <w14:schemeClr w14:val="tx1"/>
            </w14:solidFill>
          </w14:textFill>
        </w:rPr>
        <w:t>低碳产业园区</w:t>
      </w:r>
      <w:r>
        <w:rPr>
          <w:rFonts w:hint="eastAsia" w:ascii="仿宋" w:hAnsi="仿宋" w:eastAsia="仿宋"/>
          <w:color w:val="000000" w:themeColor="text1"/>
          <w:sz w:val="32"/>
          <w:szCs w:val="32"/>
          <w14:textFill>
            <w14:solidFill>
              <w14:schemeClr w14:val="tx1"/>
            </w14:solidFill>
          </w14:textFill>
        </w:rPr>
        <w:t>分局联系人:</w:t>
      </w:r>
      <w:r>
        <w:rPr>
          <w:rFonts w:hint="eastAsia" w:ascii="仿宋" w:hAnsi="仿宋" w:eastAsia="仿宋"/>
          <w:color w:val="000000" w:themeColor="text1"/>
          <w:sz w:val="32"/>
          <w:szCs w:val="32"/>
          <w:lang w:val="en-US" w:eastAsia="zh-CN"/>
          <w14:textFill>
            <w14:solidFill>
              <w14:schemeClr w14:val="tx1"/>
            </w14:solidFill>
          </w14:textFill>
        </w:rPr>
        <w:t>崔旭</w:t>
      </w:r>
    </w:p>
    <w:p>
      <w:pPr>
        <w:spacing w:line="560" w:lineRule="exact"/>
        <w:ind w:firstLine="1280" w:firstLineChars="400"/>
        <w:jc w:val="left"/>
        <w:textAlignment w:val="baseline"/>
        <w:rPr>
          <w:rStyle w:val="17"/>
          <w:rFonts w:hint="default" w:ascii="仿宋" w:hAnsi="仿宋" w:eastAsia="仿宋"/>
          <w:b w:val="0"/>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乌海市自然资源局</w:t>
      </w:r>
      <w:r>
        <w:rPr>
          <w:rFonts w:hint="eastAsia" w:ascii="仿宋" w:hAnsi="仿宋" w:eastAsia="仿宋"/>
          <w:color w:val="000000" w:themeColor="text1"/>
          <w:sz w:val="32"/>
          <w:szCs w:val="32"/>
          <w:lang w:eastAsia="zh-CN"/>
          <w14:textFill>
            <w14:solidFill>
              <w14:schemeClr w14:val="tx1"/>
            </w14:solidFill>
          </w14:textFill>
        </w:rPr>
        <w:t>低碳产业园区分局</w:t>
      </w:r>
      <w:r>
        <w:rPr>
          <w:rFonts w:hint="eastAsia" w:ascii="仿宋" w:hAnsi="仿宋" w:eastAsia="仿宋"/>
          <w:color w:val="000000" w:themeColor="text1"/>
          <w:sz w:val="32"/>
          <w:szCs w:val="32"/>
          <w14:textFill>
            <w14:solidFill>
              <w14:schemeClr w14:val="tx1"/>
            </w14:solidFill>
          </w14:textFill>
        </w:rPr>
        <w:t>联系电话:0473-</w:t>
      </w:r>
      <w:r>
        <w:rPr>
          <w:rFonts w:hint="eastAsia" w:ascii="仿宋" w:hAnsi="仿宋" w:eastAsia="仿宋"/>
          <w:color w:val="000000" w:themeColor="text1"/>
          <w:sz w:val="32"/>
          <w:szCs w:val="32"/>
          <w:lang w:val="en-US" w:eastAsia="zh-CN"/>
          <w14:textFill>
            <w14:solidFill>
              <w14:schemeClr w14:val="tx1"/>
            </w14:solidFill>
          </w14:textFill>
        </w:rPr>
        <w:t>3959098</w:t>
      </w:r>
    </w:p>
    <w:p>
      <w:pPr>
        <w:spacing w:line="560" w:lineRule="exact"/>
        <w:ind w:firstLine="1280" w:firstLineChars="400"/>
        <w:jc w:val="right"/>
        <w:textAlignment w:val="baseline"/>
        <w:rPr>
          <w:rFonts w:ascii="仿宋" w:hAnsi="仿宋" w:eastAsia="仿宋"/>
          <w:color w:val="000000" w:themeColor="text1"/>
          <w:sz w:val="32"/>
          <w:szCs w:val="32"/>
          <w14:textFill>
            <w14:solidFill>
              <w14:schemeClr w14:val="tx1"/>
            </w14:solidFill>
          </w14:textFill>
        </w:rPr>
      </w:pPr>
    </w:p>
    <w:p>
      <w:pPr>
        <w:spacing w:line="560" w:lineRule="exact"/>
        <w:ind w:firstLine="1280" w:firstLineChars="400"/>
        <w:jc w:val="right"/>
        <w:textAlignment w:val="baseline"/>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乌海</w:t>
      </w:r>
      <w:r>
        <w:rPr>
          <w:rFonts w:hint="eastAsia" w:ascii="仿宋" w:hAnsi="仿宋" w:eastAsia="仿宋"/>
          <w:color w:val="000000" w:themeColor="text1"/>
          <w:sz w:val="32"/>
          <w:szCs w:val="32"/>
          <w:highlight w:val="none"/>
          <w14:textFill>
            <w14:solidFill>
              <w14:schemeClr w14:val="tx1"/>
            </w14:solidFill>
          </w14:textFill>
        </w:rPr>
        <w:t>市公共资源交易中心</w:t>
      </w:r>
    </w:p>
    <w:p>
      <w:pPr>
        <w:spacing w:line="560" w:lineRule="exact"/>
        <w:ind w:firstLine="1280" w:firstLineChars="400"/>
        <w:jc w:val="right"/>
        <w:textAlignment w:val="baseline"/>
        <w:rPr>
          <w:rFonts w:ascii="仿宋" w:hAnsi="仿宋" w:eastAsia="仿宋"/>
          <w:color w:val="auto"/>
          <w:sz w:val="32"/>
          <w:szCs w:val="32"/>
          <w:highlight w:val="yellow"/>
        </w:rPr>
      </w:pPr>
      <w:r>
        <w:rPr>
          <w:rFonts w:hint="eastAsia" w:ascii="仿宋" w:hAnsi="仿宋" w:eastAsia="仿宋"/>
          <w:color w:val="000000" w:themeColor="text1"/>
          <w:sz w:val="32"/>
          <w:szCs w:val="32"/>
          <w:highlight w:val="none"/>
          <w14:textFill>
            <w14:solidFill>
              <w14:schemeClr w14:val="tx1"/>
            </w14:solidFill>
          </w14:textFill>
        </w:rPr>
        <w:t xml:space="preserve">                        </w:t>
      </w:r>
      <w:r>
        <w:rPr>
          <w:rFonts w:hint="eastAsia" w:ascii="仿宋" w:hAnsi="仿宋" w:eastAsia="仿宋"/>
          <w:color w:val="auto"/>
          <w:sz w:val="32"/>
          <w:szCs w:val="32"/>
          <w:highlight w:val="none"/>
        </w:rPr>
        <w:t xml:space="preserve">       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9</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12</w:t>
      </w:r>
      <w:r>
        <w:rPr>
          <w:rFonts w:hint="eastAsia" w:ascii="仿宋" w:hAnsi="仿宋" w:eastAsia="仿宋"/>
          <w:color w:val="auto"/>
          <w:sz w:val="32"/>
          <w:szCs w:val="32"/>
          <w:highlight w:val="none"/>
        </w:rPr>
        <w:t xml:space="preserve">日 </w:t>
      </w:r>
    </w:p>
    <w:p>
      <w:pPr>
        <w:spacing w:line="538" w:lineRule="exact"/>
        <w:ind w:left="0" w:firstLine="0"/>
        <w:jc w:val="center"/>
        <w:textAlignment w:val="baseline"/>
        <w:rPr>
          <w:rFonts w:ascii="方正小标宋简体" w:hAnsi="仿宋" w:eastAsia="方正小标宋简体" w:cs="方正小标宋简体"/>
          <w:color w:val="auto"/>
          <w:sz w:val="44"/>
          <w:szCs w:val="44"/>
        </w:rPr>
      </w:pPr>
    </w:p>
    <w:p>
      <w:pPr>
        <w:spacing w:line="538" w:lineRule="exact"/>
        <w:ind w:left="0" w:firstLine="0"/>
        <w:jc w:val="center"/>
        <w:textAlignment w:val="baseline"/>
        <w:rPr>
          <w:rFonts w:ascii="方正小标宋简体" w:hAnsi="仿宋" w:eastAsia="方正小标宋简体" w:cs="方正小标宋简体"/>
          <w:color w:val="000000" w:themeColor="text1"/>
          <w:sz w:val="44"/>
          <w:szCs w:val="44"/>
          <w14:textFill>
            <w14:solidFill>
              <w14:schemeClr w14:val="tx1"/>
            </w14:solidFill>
          </w14:textFill>
        </w:rPr>
      </w:pPr>
    </w:p>
    <w:p>
      <w:pPr>
        <w:spacing w:line="538" w:lineRule="exact"/>
        <w:ind w:left="0" w:firstLine="0"/>
        <w:jc w:val="center"/>
        <w:textAlignment w:val="baseline"/>
        <w:rPr>
          <w:rFonts w:ascii="方正小标宋简体" w:hAnsi="仿宋" w:eastAsia="方正小标宋简体" w:cs="方正小标宋简体"/>
          <w:color w:val="000000" w:themeColor="text1"/>
          <w:sz w:val="44"/>
          <w:szCs w:val="44"/>
          <w14:textFill>
            <w14:solidFill>
              <w14:schemeClr w14:val="tx1"/>
            </w14:solidFill>
          </w14:textFill>
        </w:rPr>
      </w:pPr>
    </w:p>
    <w:p>
      <w:pPr>
        <w:pStyle w:val="12"/>
        <w:shd w:val="clear" w:color="auto" w:fill="FFFFFF"/>
        <w:spacing w:before="0" w:beforeAutospacing="0" w:after="0" w:afterAutospacing="0" w:line="540" w:lineRule="exact"/>
        <w:ind w:firstLine="6560" w:firstLineChars="2050"/>
        <w:jc w:val="both"/>
        <w:rPr>
          <w:rFonts w:ascii="仿宋" w:hAnsi="仿宋" w:eastAsia="仿宋"/>
          <w:color w:val="000000" w:themeColor="text1"/>
          <w:sz w:val="32"/>
          <w:szCs w:val="32"/>
          <w14:textFill>
            <w14:solidFill>
              <w14:schemeClr w14:val="tx1"/>
            </w14:solidFill>
          </w14:textFill>
        </w:rPr>
      </w:pPr>
    </w:p>
    <w:p>
      <w:pPr>
        <w:pStyle w:val="12"/>
        <w:shd w:val="clear" w:color="auto" w:fill="FFFFFF"/>
        <w:spacing w:before="0" w:beforeAutospacing="0" w:after="0" w:afterAutospacing="0" w:line="540" w:lineRule="exact"/>
        <w:ind w:firstLine="6560" w:firstLineChars="2050"/>
        <w:jc w:val="both"/>
        <w:rPr>
          <w:rFonts w:ascii="仿宋" w:hAnsi="仿宋" w:eastAsia="仿宋"/>
          <w:color w:val="000000" w:themeColor="text1"/>
          <w:sz w:val="32"/>
          <w:szCs w:val="32"/>
          <w14:textFill>
            <w14:solidFill>
              <w14:schemeClr w14:val="tx1"/>
            </w14:solidFill>
          </w14:textFill>
        </w:rPr>
      </w:pPr>
    </w:p>
    <w:p>
      <w:pPr>
        <w:pStyle w:val="12"/>
        <w:shd w:val="clear" w:color="auto" w:fill="FFFFFF"/>
        <w:spacing w:before="0" w:beforeAutospacing="0" w:after="0" w:afterAutospacing="0" w:line="540" w:lineRule="exact"/>
        <w:ind w:firstLine="6560" w:firstLineChars="2050"/>
        <w:jc w:val="both"/>
        <w:rPr>
          <w:rFonts w:ascii="仿宋" w:hAnsi="仿宋" w:eastAsia="仿宋"/>
          <w:color w:val="000000" w:themeColor="text1"/>
          <w:sz w:val="32"/>
          <w:szCs w:val="32"/>
          <w14:textFill>
            <w14:solidFill>
              <w14:schemeClr w14:val="tx1"/>
            </w14:solidFill>
          </w14:textFill>
        </w:rPr>
      </w:pPr>
    </w:p>
    <w:p>
      <w:pPr>
        <w:pStyle w:val="12"/>
        <w:shd w:val="clear" w:color="auto" w:fill="FFFFFF"/>
        <w:spacing w:before="0" w:beforeAutospacing="0" w:after="0" w:afterAutospacing="0" w:line="540" w:lineRule="exact"/>
        <w:ind w:firstLine="6560" w:firstLineChars="2050"/>
        <w:jc w:val="both"/>
        <w:rPr>
          <w:rFonts w:ascii="仿宋" w:hAnsi="仿宋" w:eastAsia="仿宋"/>
          <w:color w:val="000000" w:themeColor="text1"/>
          <w:sz w:val="32"/>
          <w:szCs w:val="32"/>
          <w14:textFill>
            <w14:solidFill>
              <w14:schemeClr w14:val="tx1"/>
            </w14:solidFill>
          </w14:textFill>
        </w:rPr>
      </w:pPr>
    </w:p>
    <w:p>
      <w:pPr>
        <w:pStyle w:val="12"/>
        <w:shd w:val="clear" w:color="auto" w:fill="FFFFFF"/>
        <w:spacing w:before="0" w:beforeAutospacing="0" w:after="0" w:afterAutospacing="0" w:line="540" w:lineRule="exact"/>
        <w:ind w:firstLine="6560" w:firstLineChars="2050"/>
        <w:jc w:val="both"/>
        <w:rPr>
          <w:rFonts w:ascii="仿宋" w:hAnsi="仿宋" w:eastAsia="仿宋"/>
          <w:color w:val="000000" w:themeColor="text1"/>
          <w:sz w:val="32"/>
          <w:szCs w:val="32"/>
          <w14:textFill>
            <w14:solidFill>
              <w14:schemeClr w14:val="tx1"/>
            </w14:solidFill>
          </w14:textFill>
        </w:rPr>
      </w:pPr>
    </w:p>
    <w:p>
      <w:pPr>
        <w:pStyle w:val="12"/>
        <w:shd w:val="clear" w:color="auto" w:fill="FFFFFF"/>
        <w:spacing w:before="0" w:beforeAutospacing="0" w:after="0" w:afterAutospacing="0" w:line="540" w:lineRule="exact"/>
        <w:ind w:firstLine="6560" w:firstLineChars="2050"/>
        <w:jc w:val="both"/>
        <w:rPr>
          <w:rFonts w:ascii="仿宋" w:hAnsi="仿宋" w:eastAsia="仿宋"/>
          <w:color w:val="000000" w:themeColor="text1"/>
          <w:sz w:val="32"/>
          <w:szCs w:val="32"/>
          <w14:textFill>
            <w14:solidFill>
              <w14:schemeClr w14:val="tx1"/>
            </w14:solidFill>
          </w14:textFill>
        </w:rPr>
      </w:pPr>
    </w:p>
    <w:p>
      <w:pPr>
        <w:pStyle w:val="12"/>
        <w:shd w:val="clear" w:color="auto" w:fill="FFFFFF"/>
        <w:spacing w:before="0" w:beforeAutospacing="0" w:after="0" w:afterAutospacing="0" w:line="540" w:lineRule="exact"/>
        <w:ind w:firstLine="6560" w:firstLineChars="2050"/>
        <w:jc w:val="both"/>
        <w:rPr>
          <w:rFonts w:ascii="仿宋" w:hAnsi="仿宋" w:eastAsia="仿宋"/>
          <w:color w:val="000000" w:themeColor="text1"/>
          <w:sz w:val="32"/>
          <w:szCs w:val="32"/>
          <w14:textFill>
            <w14:solidFill>
              <w14:schemeClr w14:val="tx1"/>
            </w14:solidFill>
          </w14:textFill>
        </w:rPr>
      </w:pPr>
    </w:p>
    <w:p>
      <w:pPr>
        <w:pStyle w:val="12"/>
        <w:shd w:val="clear" w:color="auto" w:fill="FFFFFF"/>
        <w:spacing w:before="0" w:beforeAutospacing="0" w:after="0" w:afterAutospacing="0" w:line="540" w:lineRule="exact"/>
        <w:ind w:firstLine="6560" w:firstLineChars="2050"/>
        <w:jc w:val="both"/>
        <w:rPr>
          <w:rFonts w:ascii="仿宋" w:hAnsi="仿宋" w:eastAsia="仿宋"/>
          <w:color w:val="000000" w:themeColor="text1"/>
          <w:sz w:val="32"/>
          <w:szCs w:val="32"/>
          <w14:textFill>
            <w14:solidFill>
              <w14:schemeClr w14:val="tx1"/>
            </w14:solidFill>
          </w14:textFill>
        </w:rPr>
      </w:pPr>
    </w:p>
    <w:p>
      <w:pPr>
        <w:pStyle w:val="12"/>
        <w:shd w:val="clear" w:color="auto" w:fill="FFFFFF"/>
        <w:spacing w:before="0" w:beforeAutospacing="0" w:after="0" w:afterAutospacing="0" w:line="540" w:lineRule="exact"/>
        <w:ind w:firstLine="6560" w:firstLineChars="2050"/>
        <w:jc w:val="both"/>
        <w:rPr>
          <w:rFonts w:ascii="仿宋" w:hAnsi="仿宋" w:eastAsia="仿宋"/>
          <w:color w:val="000000" w:themeColor="text1"/>
          <w:sz w:val="32"/>
          <w:szCs w:val="32"/>
          <w14:textFill>
            <w14:solidFill>
              <w14:schemeClr w14:val="tx1"/>
            </w14:solidFill>
          </w14:textFill>
        </w:rPr>
      </w:pPr>
    </w:p>
    <w:p>
      <w:pPr>
        <w:pStyle w:val="12"/>
        <w:shd w:val="clear" w:color="auto" w:fill="FFFFFF"/>
        <w:spacing w:before="0" w:beforeAutospacing="0" w:after="0" w:afterAutospacing="0" w:line="540" w:lineRule="exact"/>
        <w:ind w:firstLine="6560" w:firstLineChars="2050"/>
        <w:jc w:val="both"/>
        <w:rPr>
          <w:rFonts w:ascii="仿宋" w:hAnsi="仿宋" w:eastAsia="仿宋"/>
          <w:color w:val="000000" w:themeColor="text1"/>
          <w:sz w:val="32"/>
          <w:szCs w:val="32"/>
          <w14:textFill>
            <w14:solidFill>
              <w14:schemeClr w14:val="tx1"/>
            </w14:solidFill>
          </w14:textFill>
        </w:rPr>
      </w:pPr>
    </w:p>
    <w:p>
      <w:pPr>
        <w:pStyle w:val="12"/>
        <w:shd w:val="clear" w:color="auto" w:fill="FFFFFF"/>
        <w:spacing w:before="0" w:beforeAutospacing="0" w:after="0" w:afterAutospacing="0" w:line="540" w:lineRule="exact"/>
        <w:ind w:firstLine="6560" w:firstLineChars="2050"/>
        <w:jc w:val="both"/>
        <w:rPr>
          <w:rFonts w:ascii="仿宋" w:hAnsi="仿宋" w:eastAsia="仿宋"/>
          <w:color w:val="000000" w:themeColor="text1"/>
          <w:sz w:val="32"/>
          <w:szCs w:val="32"/>
          <w14:textFill>
            <w14:solidFill>
              <w14:schemeClr w14:val="tx1"/>
            </w14:solidFill>
          </w14:textFill>
        </w:rPr>
      </w:pPr>
    </w:p>
    <w:p>
      <w:pPr>
        <w:pStyle w:val="12"/>
        <w:shd w:val="clear" w:color="auto" w:fill="FFFFFF"/>
        <w:spacing w:before="0" w:beforeAutospacing="0" w:after="0" w:afterAutospacing="0" w:line="540" w:lineRule="exact"/>
        <w:ind w:firstLine="6560" w:firstLineChars="2050"/>
        <w:jc w:val="both"/>
        <w:rPr>
          <w:rFonts w:ascii="仿宋" w:hAnsi="仿宋" w:eastAsia="仿宋"/>
          <w:color w:val="000000" w:themeColor="text1"/>
          <w:sz w:val="32"/>
          <w:szCs w:val="32"/>
          <w14:textFill>
            <w14:solidFill>
              <w14:schemeClr w14:val="tx1"/>
            </w14:solidFill>
          </w14:textFill>
        </w:rPr>
      </w:pPr>
    </w:p>
    <w:p>
      <w:pPr>
        <w:pStyle w:val="12"/>
        <w:shd w:val="clear" w:color="auto" w:fill="FFFFFF"/>
        <w:spacing w:before="0" w:beforeAutospacing="0" w:after="0" w:afterAutospacing="0" w:line="540" w:lineRule="exact"/>
        <w:ind w:firstLine="6560" w:firstLineChars="2050"/>
        <w:jc w:val="both"/>
        <w:rPr>
          <w:rFonts w:ascii="仿宋" w:hAnsi="仿宋" w:eastAsia="仿宋"/>
          <w:color w:val="000000" w:themeColor="text1"/>
          <w:sz w:val="32"/>
          <w:szCs w:val="32"/>
          <w14:textFill>
            <w14:solidFill>
              <w14:schemeClr w14:val="tx1"/>
            </w14:solidFill>
          </w14:textFill>
        </w:rPr>
      </w:pPr>
    </w:p>
    <w:p>
      <w:pPr>
        <w:pStyle w:val="12"/>
        <w:shd w:val="clear" w:color="auto" w:fill="FFFFFF"/>
        <w:spacing w:before="0" w:beforeAutospacing="0" w:after="0" w:afterAutospacing="0" w:line="540" w:lineRule="exact"/>
        <w:ind w:firstLine="6560" w:firstLineChars="2050"/>
        <w:jc w:val="both"/>
        <w:rPr>
          <w:rFonts w:ascii="仿宋" w:hAnsi="仿宋" w:eastAsia="仿宋"/>
          <w:color w:val="000000" w:themeColor="text1"/>
          <w:sz w:val="32"/>
          <w:szCs w:val="32"/>
          <w14:textFill>
            <w14:solidFill>
              <w14:schemeClr w14:val="tx1"/>
            </w14:solidFill>
          </w14:textFill>
        </w:rPr>
      </w:pPr>
    </w:p>
    <w:p>
      <w:pPr>
        <w:pStyle w:val="12"/>
        <w:shd w:val="clear" w:color="auto" w:fill="FFFFFF"/>
        <w:spacing w:before="0" w:beforeAutospacing="0" w:after="0" w:afterAutospacing="0" w:line="540" w:lineRule="exact"/>
        <w:ind w:firstLine="6560" w:firstLineChars="2050"/>
        <w:jc w:val="both"/>
        <w:rPr>
          <w:rFonts w:ascii="仿宋" w:hAnsi="仿宋" w:eastAsia="仿宋"/>
          <w:color w:val="000000" w:themeColor="text1"/>
          <w:sz w:val="32"/>
          <w:szCs w:val="32"/>
          <w14:textFill>
            <w14:solidFill>
              <w14:schemeClr w14:val="tx1"/>
            </w14:solidFill>
          </w14:textFill>
        </w:rPr>
      </w:pPr>
    </w:p>
    <w:p>
      <w:pPr>
        <w:spacing w:line="538" w:lineRule="exact"/>
        <w:ind w:left="0" w:firstLine="0"/>
        <w:jc w:val="center"/>
        <w:textAlignment w:val="baseline"/>
        <w:rPr>
          <w:rFonts w:hint="eastAsia" w:asciiTheme="minorEastAsia" w:hAnsiTheme="minorEastAsia" w:eastAsiaTheme="minorEastAsia" w:cstheme="minorEastAsia"/>
          <w:b/>
          <w:bCs/>
          <w:color w:val="000000" w:themeColor="text1"/>
          <w:sz w:val="44"/>
          <w:szCs w:val="44"/>
          <w14:textFill>
            <w14:solidFill>
              <w14:schemeClr w14:val="tx1"/>
            </w14:solidFill>
          </w14:textFill>
        </w:rPr>
      </w:pPr>
      <w:bookmarkStart w:id="0" w:name="_GoBack"/>
      <w:r>
        <w:rPr>
          <w:rFonts w:hint="eastAsia" w:asciiTheme="minorEastAsia" w:hAnsiTheme="minorEastAsia" w:eastAsiaTheme="minorEastAsia" w:cstheme="minorEastAsia"/>
          <w:b/>
          <w:bCs/>
          <w:color w:val="000000" w:themeColor="text1"/>
          <w:sz w:val="44"/>
          <w:szCs w:val="44"/>
          <w14:textFill>
            <w14:solidFill>
              <w14:schemeClr w14:val="tx1"/>
            </w14:solidFill>
          </w14:textFill>
        </w:rPr>
        <w:t>乌海市国有建设用地使用权挂牌出让须知</w:t>
      </w:r>
    </w:p>
    <w:p>
      <w:pPr>
        <w:tabs>
          <w:tab w:val="left" w:pos="4400"/>
          <w:tab w:val="left" w:pos="4600"/>
        </w:tabs>
        <w:spacing w:line="540" w:lineRule="exact"/>
        <w:ind w:left="0" w:firstLine="640" w:firstLineChars="200"/>
        <w:rPr>
          <w:rFonts w:asciiTheme="minorEastAsia" w:hAnsiTheme="minorEastAsia" w:eastAsiaTheme="minorEastAsia"/>
          <w:color w:val="000000" w:themeColor="text1"/>
          <w:sz w:val="32"/>
          <w:szCs w:val="32"/>
          <w14:textFill>
            <w14:solidFill>
              <w14:schemeClr w14:val="tx1"/>
            </w14:solidFill>
          </w14:textFill>
        </w:rPr>
      </w:pP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根据《中华人民共和国土地管理法》、《中华人民共和国城市房地产管理法》、《中华人民共和国城镇国有土地使用权出让和转让暂行条例》、《招标拍卖挂牌出让国有建设用地使用权规定》以及《招标拍卖挂牌出让国有土地使用权规范》等有关规定，经乌海市人民政府批准，乌海市自然资源局</w:t>
      </w:r>
      <w:r>
        <w:rPr>
          <w:rFonts w:hint="eastAsia" w:ascii="仿宋" w:hAnsi="仿宋" w:eastAsia="仿宋"/>
          <w:color w:val="000000" w:themeColor="text1"/>
          <w:sz w:val="32"/>
          <w:szCs w:val="32"/>
          <w:lang w:val="en-US" w:eastAsia="zh-CN"/>
          <w14:textFill>
            <w14:solidFill>
              <w14:schemeClr w14:val="tx1"/>
            </w14:solidFill>
          </w14:textFill>
        </w:rPr>
        <w:t>低碳产业园区</w:t>
      </w:r>
      <w:r>
        <w:rPr>
          <w:rFonts w:hint="eastAsia" w:ascii="仿宋" w:hAnsi="仿宋" w:eastAsia="仿宋"/>
          <w:color w:val="000000" w:themeColor="text1"/>
          <w:sz w:val="32"/>
          <w:szCs w:val="32"/>
          <w14:textFill>
            <w14:solidFill>
              <w14:schemeClr w14:val="tx1"/>
            </w14:solidFill>
          </w14:textFill>
        </w:rPr>
        <w:t>分局以挂牌方式出让</w:t>
      </w:r>
      <w:r>
        <w:rPr>
          <w:rFonts w:hint="eastAsia" w:ascii="仿宋" w:hAnsi="仿宋" w:eastAsia="仿宋"/>
          <w:color w:val="000000" w:themeColor="text1"/>
          <w:sz w:val="32"/>
          <w:szCs w:val="32"/>
          <w:lang w:val="en-US" w:eastAsia="zh-CN"/>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宗地块的国有建设用地使用权。</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一、本次国有建设用地使用权挂牌出让的出让人为乌海市自然资源局</w:t>
      </w:r>
      <w:r>
        <w:rPr>
          <w:rFonts w:hint="eastAsia" w:ascii="仿宋" w:hAnsi="仿宋" w:eastAsia="仿宋"/>
          <w:color w:val="000000" w:themeColor="text1"/>
          <w:sz w:val="32"/>
          <w:szCs w:val="32"/>
          <w:lang w:val="en-US" w:eastAsia="zh-CN"/>
          <w14:textFill>
            <w14:solidFill>
              <w14:schemeClr w14:val="tx1"/>
            </w14:solidFill>
          </w14:textFill>
        </w:rPr>
        <w:t>低碳产业园区</w:t>
      </w:r>
      <w:r>
        <w:rPr>
          <w:rFonts w:hint="eastAsia" w:ascii="仿宋" w:hAnsi="仿宋" w:eastAsia="仿宋"/>
          <w:color w:val="000000" w:themeColor="text1"/>
          <w:sz w:val="32"/>
          <w:szCs w:val="32"/>
          <w14:textFill>
            <w14:solidFill>
              <w14:schemeClr w14:val="tx1"/>
            </w14:solidFill>
          </w14:textFill>
        </w:rPr>
        <w:t>分局，具体组织实施由乌海市公共资源交易中心负责。</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二、本次国有建设用地使用权挂牌出让遵循公开、公平、公正和诚实信用的原则。</w:t>
      </w:r>
    </w:p>
    <w:p>
      <w:pPr>
        <w:spacing w:line="540"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三、出让地块的基本情况及规划指标要求等：</w:t>
      </w:r>
    </w:p>
    <w:p>
      <w:pPr>
        <w:spacing w:line="540" w:lineRule="exact"/>
        <w:ind w:left="0" w:firstLine="643" w:firstLineChars="200"/>
        <w:rPr>
          <w:rFonts w:hint="default" w:ascii="仿宋" w:hAnsi="仿宋" w:eastAsia="仿宋"/>
          <w:b/>
          <w:bCs/>
          <w:color w:val="000000" w:themeColor="text1"/>
          <w:sz w:val="32"/>
          <w:szCs w:val="32"/>
          <w:lang w:val="en-US" w:eastAsia="zh-CN"/>
          <w14:textFill>
            <w14:solidFill>
              <w14:schemeClr w14:val="tx1"/>
            </w14:solidFill>
          </w14:textFill>
        </w:rPr>
      </w:pPr>
      <w:r>
        <w:rPr>
          <w:rFonts w:hint="eastAsia" w:ascii="仿宋" w:hAnsi="仿宋" w:eastAsia="仿宋"/>
          <w:b/>
          <w:bCs/>
          <w:color w:val="000000" w:themeColor="text1"/>
          <w:sz w:val="32"/>
          <w:szCs w:val="32"/>
          <w:lang w:val="en-US" w:eastAsia="zh-CN"/>
          <w14:textFill>
            <w14:solidFill>
              <w14:schemeClr w14:val="tx1"/>
            </w14:solidFill>
          </w14:textFill>
        </w:rPr>
        <w:t>一号地块：</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（一）地块位置：</w:t>
      </w:r>
      <w:r>
        <w:rPr>
          <w:rFonts w:hint="eastAsia" w:ascii="仿宋" w:hAnsi="仿宋" w:eastAsia="仿宋" w:cs="仿宋"/>
          <w:color w:val="000000" w:themeColor="text1"/>
          <w:sz w:val="32"/>
          <w:szCs w:val="32"/>
          <w:highlight w:val="none"/>
          <w:lang w:eastAsia="zh-CN"/>
          <w14:textFill>
            <w14:solidFill>
              <w14:schemeClr w14:val="tx1"/>
            </w14:solidFill>
          </w14:textFill>
        </w:rPr>
        <w:t>低碳产业园区</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（二）出让面积：45544.41平方米（约68.3亩）；</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（三）土地用途：居住用地、兼容商业用地（兼容比例7%）；</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（四）使用年期：居住用地：70年、商业用地：40年</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（五）建设时间：出让合同约定的动工开发期限内动工，二年内建设完成；</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（六）规划用地性质：居住用地、兼容商业用地（兼容比例7%）；</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（七）容积率：≤2.0；</w:t>
      </w:r>
    </w:p>
    <w:p>
      <w:pPr>
        <w:spacing w:line="538"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（八）</w:t>
      </w:r>
      <w:r>
        <w:rPr>
          <w:rFonts w:hint="eastAsia" w:ascii="仿宋" w:hAnsi="仿宋" w:eastAsia="仿宋"/>
          <w:color w:val="000000" w:themeColor="text1"/>
          <w:sz w:val="32"/>
          <w:szCs w:val="32"/>
          <w14:textFill>
            <w14:solidFill>
              <w14:schemeClr w14:val="tx1"/>
            </w14:solidFill>
          </w14:textFill>
        </w:rPr>
        <w:t>建筑限高：</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54米</w:t>
      </w:r>
      <w:r>
        <w:rPr>
          <w:rFonts w:hint="eastAsia" w:ascii="仿宋" w:hAnsi="仿宋" w:eastAsia="仿宋"/>
          <w:color w:val="000000" w:themeColor="text1"/>
          <w:sz w:val="32"/>
          <w:szCs w:val="32"/>
          <w:lang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九</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绿地率：</w:t>
      </w:r>
      <w:r>
        <w:rPr>
          <w:rFonts w:hint="eastAsia" w:ascii="Times New Roman" w:hAnsi="Times New Roman" w:eastAsia="仿宋_GB2312"/>
          <w:b w:val="0"/>
          <w:bCs w:val="0"/>
          <w:sz w:val="32"/>
          <w:szCs w:val="32"/>
          <w:lang w:val="en-US" w:eastAsia="zh-CN"/>
        </w:rPr>
        <w:t>≥</w:t>
      </w:r>
      <w:r>
        <w:rPr>
          <w:rFonts w:hint="eastAsia" w:eastAsia="仿宋_GB2312"/>
          <w:b w:val="0"/>
          <w:bCs w:val="0"/>
          <w:sz w:val="32"/>
          <w:szCs w:val="32"/>
          <w:lang w:val="en-US" w:eastAsia="zh-CN"/>
        </w:rPr>
        <w:t>30</w:t>
      </w:r>
      <w:r>
        <w:rPr>
          <w:rFonts w:hint="eastAsia" w:ascii="Times New Roman" w:hAnsi="Times New Roman" w:eastAsia="仿宋_GB2312"/>
          <w:b w:val="0"/>
          <w:bCs w:val="0"/>
          <w:sz w:val="32"/>
          <w:szCs w:val="32"/>
          <w:lang w:val="en-US" w:eastAsia="zh-CN"/>
        </w:rPr>
        <w:t>%</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十</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建筑</w:t>
      </w:r>
      <w:r>
        <w:rPr>
          <w:rFonts w:hint="eastAsia" w:eastAsia="仿宋_GB2312"/>
          <w:b w:val="0"/>
          <w:bCs w:val="0"/>
          <w:sz w:val="32"/>
          <w:szCs w:val="32"/>
          <w:lang w:val="en-US" w:eastAsia="zh-CN"/>
        </w:rPr>
        <w:t>密度</w:t>
      </w:r>
      <w:r>
        <w:rPr>
          <w:rFonts w:hint="eastAsia" w:ascii="Times New Roman" w:hAnsi="Times New Roman" w:eastAsia="仿宋_GB2312"/>
          <w:b w:val="0"/>
          <w:bCs w:val="0"/>
          <w:sz w:val="32"/>
          <w:szCs w:val="32"/>
          <w:lang w:val="en-US" w:eastAsia="zh-CN"/>
        </w:rPr>
        <w:t>：</w:t>
      </w:r>
      <w:r>
        <w:rPr>
          <w:rFonts w:hint="eastAsia" w:ascii="仿宋" w:hAnsi="仿宋" w:eastAsia="仿宋"/>
          <w:spacing w:val="-9"/>
          <w:sz w:val="32"/>
          <w:szCs w:val="32"/>
        </w:rPr>
        <w:t>≤</w:t>
      </w:r>
      <w:r>
        <w:rPr>
          <w:rFonts w:hint="eastAsia" w:ascii="仿宋" w:hAnsi="仿宋" w:eastAsia="仿宋"/>
          <w:spacing w:val="-9"/>
          <w:sz w:val="32"/>
          <w:szCs w:val="32"/>
          <w:lang w:val="en-US" w:eastAsia="zh-CN"/>
        </w:rPr>
        <w:t>30</w:t>
      </w:r>
      <w:r>
        <w:rPr>
          <w:rFonts w:hint="eastAsia" w:ascii="仿宋" w:hAnsi="仿宋" w:eastAsia="仿宋"/>
          <w:spacing w:val="-9"/>
          <w:sz w:val="32"/>
          <w:szCs w:val="32"/>
        </w:rPr>
        <w:t>%</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（十一）</w:t>
      </w:r>
      <w:r>
        <w:rPr>
          <w:rFonts w:hint="eastAsia" w:ascii="仿宋" w:hAnsi="仿宋" w:eastAsia="仿宋" w:cs="仿宋"/>
          <w:color w:val="000000" w:themeColor="text1"/>
          <w:sz w:val="32"/>
          <w:szCs w:val="32"/>
          <w:highlight w:val="none"/>
          <w14:textFill>
            <w14:solidFill>
              <w14:schemeClr w14:val="tx1"/>
            </w14:solidFill>
          </w14:textFill>
        </w:rPr>
        <w:t>建筑退线要求：满足规划设计条件要求；</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（十二）</w:t>
      </w:r>
      <w:r>
        <w:rPr>
          <w:rFonts w:hint="eastAsia" w:ascii="仿宋" w:hAnsi="仿宋" w:eastAsia="仿宋" w:cs="仿宋"/>
          <w:color w:val="000000" w:themeColor="text1"/>
          <w:sz w:val="32"/>
          <w:szCs w:val="32"/>
          <w:highlight w:val="none"/>
          <w14:textFill>
            <w14:solidFill>
              <w14:schemeClr w14:val="tx1"/>
            </w14:solidFill>
          </w14:textFill>
        </w:rPr>
        <w:t>出让地块的空间范围须符合城市规划管理的有关要求；</w:t>
      </w:r>
    </w:p>
    <w:p>
      <w:pPr>
        <w:spacing w:line="538" w:lineRule="exact"/>
        <w:ind w:left="0"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（十三）</w:t>
      </w:r>
      <w:r>
        <w:rPr>
          <w:rFonts w:hint="eastAsia" w:ascii="仿宋" w:hAnsi="仿宋" w:eastAsia="仿宋" w:cs="仿宋"/>
          <w:color w:val="000000" w:themeColor="text1"/>
          <w:sz w:val="32"/>
          <w:szCs w:val="32"/>
          <w:highlight w:val="none"/>
          <w14:textFill>
            <w14:solidFill>
              <w14:schemeClr w14:val="tx1"/>
            </w14:solidFill>
          </w14:textFill>
        </w:rPr>
        <w:t>其他规划要求以规划条件书为准。</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w:t>
      </w:r>
      <w:r>
        <w:rPr>
          <w:rFonts w:hint="eastAsia" w:ascii="仿宋" w:hAnsi="仿宋" w:eastAsia="仿宋"/>
          <w:color w:val="000000" w:themeColor="text1"/>
          <w:sz w:val="32"/>
          <w:szCs w:val="32"/>
          <w:lang w:eastAsia="zh-CN"/>
          <w14:textFill>
            <w14:solidFill>
              <w14:schemeClr w14:val="tx1"/>
            </w14:solidFill>
          </w14:textFill>
        </w:rPr>
        <w:t>四</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该地块用</w:t>
      </w:r>
      <w:r>
        <w:rPr>
          <w:rFonts w:hint="eastAsia" w:ascii="仿宋" w:hAnsi="仿宋" w:eastAsia="仿宋" w:cs="仿宋"/>
          <w:color w:val="000000" w:themeColor="text1"/>
          <w:kern w:val="2"/>
          <w:sz w:val="32"/>
          <w:szCs w:val="32"/>
          <w:highlight w:val="none"/>
          <w:vertAlign w:val="baseline"/>
          <w:lang w:val="en-US" w:eastAsia="zh-CN" w:bidi="ar"/>
          <w14:textFill>
            <w14:solidFill>
              <w14:schemeClr w14:val="tx1"/>
            </w14:solidFill>
          </w14:textFill>
        </w:rPr>
        <w:t>地范围属于《乌海市2020年度第二批次建设用地》（内政土发[2020]529号），现净地挂牌。</w:t>
      </w:r>
      <w:r>
        <w:rPr>
          <w:rFonts w:hint="eastAsia" w:ascii="仿宋" w:hAnsi="仿宋" w:eastAsia="仿宋" w:cs="仿宋"/>
          <w:color w:val="000000" w:themeColor="text1"/>
          <w:sz w:val="32"/>
          <w:szCs w:val="32"/>
          <w:highlight w:val="none"/>
          <w14:textFill>
            <w14:solidFill>
              <w14:schemeClr w14:val="tx1"/>
            </w14:solidFill>
          </w14:textFill>
        </w:rPr>
        <w:t>该出让地块范围内如有树木、供电、市政设施等，受让人可结合规划设计方案保留，对不需要保留的，由受让人自行与有关部门解决，并承担所需费用。如需要考古或地下有</w:t>
      </w:r>
      <w:r>
        <w:rPr>
          <w:rFonts w:hint="eastAsia" w:ascii="仿宋" w:hAnsi="仿宋" w:eastAsia="仿宋" w:cs="仿宋"/>
          <w:color w:val="000000" w:themeColor="text1"/>
          <w:sz w:val="32"/>
          <w:szCs w:val="32"/>
          <w:highlight w:val="none"/>
          <w:lang w:eastAsia="zh-CN"/>
          <w14:textFill>
            <w14:solidFill>
              <w14:schemeClr w14:val="tx1"/>
            </w14:solidFill>
          </w14:textFill>
        </w:rPr>
        <w:t>资源、</w:t>
      </w:r>
      <w:r>
        <w:rPr>
          <w:rFonts w:hint="eastAsia" w:ascii="仿宋" w:hAnsi="仿宋" w:eastAsia="仿宋" w:cs="仿宋"/>
          <w:color w:val="000000" w:themeColor="text1"/>
          <w:sz w:val="32"/>
          <w:szCs w:val="32"/>
          <w:highlight w:val="none"/>
          <w14:textFill>
            <w14:solidFill>
              <w14:schemeClr w14:val="tx1"/>
            </w14:solidFill>
          </w14:textFill>
        </w:rPr>
        <w:t>构筑物、其他设施等，由受让人自行与有关部门协商解决，并承担所需费用。</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（十</w:t>
      </w:r>
      <w:r>
        <w:rPr>
          <w:rFonts w:hint="eastAsia" w:ascii="仿宋" w:hAnsi="仿宋" w:eastAsia="仿宋"/>
          <w:color w:val="000000" w:themeColor="text1"/>
          <w:sz w:val="32"/>
          <w:szCs w:val="32"/>
          <w:lang w:eastAsia="zh-CN"/>
          <w14:textFill>
            <w14:solidFill>
              <w14:schemeClr w14:val="tx1"/>
            </w14:solidFill>
          </w14:textFill>
        </w:rPr>
        <w:t>五</w:t>
      </w:r>
      <w:r>
        <w:rPr>
          <w:rFonts w:hint="eastAsia" w:ascii="仿宋" w:hAnsi="仿宋" w:eastAsia="仿宋"/>
          <w:color w:val="000000" w:themeColor="text1"/>
          <w:sz w:val="32"/>
          <w:szCs w:val="32"/>
          <w14:textFill>
            <w14:solidFill>
              <w14:schemeClr w14:val="tx1"/>
            </w14:solidFill>
          </w14:textFill>
        </w:rPr>
        <w:t>）其他要求：出让地块的空间范围须符合城市规划管理的有关</w:t>
      </w:r>
      <w:r>
        <w:rPr>
          <w:rFonts w:hint="eastAsia" w:ascii="仿宋" w:hAnsi="仿宋" w:eastAsia="仿宋" w:cs="仿宋"/>
          <w:color w:val="000000" w:themeColor="text1"/>
          <w:sz w:val="32"/>
          <w:szCs w:val="32"/>
          <w:highlight w:val="none"/>
          <w14:textFill>
            <w14:solidFill>
              <w14:schemeClr w14:val="tx1"/>
            </w14:solidFill>
          </w14:textFill>
        </w:rPr>
        <w:t>要求，必须严格按照《内蒙古自治区建设用地规划条件书》（条字第：</w:t>
      </w:r>
      <w:r>
        <w:rPr>
          <w:rFonts w:ascii="Times New Roman" w:hAnsi="Times New Roman" w:eastAsia="仿宋_GB2312"/>
          <w:b w:val="0"/>
          <w:bCs w:val="0"/>
          <w:sz w:val="32"/>
          <w:szCs w:val="20"/>
        </w:rPr>
        <w:t>15030</w:t>
      </w:r>
      <w:r>
        <w:rPr>
          <w:rFonts w:hint="eastAsia" w:ascii="Times New Roman" w:hAnsi="Times New Roman" w:eastAsia="仿宋_GB2312"/>
          <w:b w:val="0"/>
          <w:bCs w:val="0"/>
          <w:sz w:val="32"/>
          <w:szCs w:val="20"/>
        </w:rPr>
        <w:t>3</w:t>
      </w:r>
      <w:r>
        <w:rPr>
          <w:rFonts w:ascii="Times New Roman" w:hAnsi="Times New Roman" w:eastAsia="仿宋_GB2312"/>
          <w:b w:val="0"/>
          <w:bCs w:val="0"/>
          <w:sz w:val="32"/>
          <w:szCs w:val="20"/>
        </w:rPr>
        <w:t>20</w:t>
      </w:r>
      <w:r>
        <w:rPr>
          <w:rFonts w:hint="eastAsia" w:ascii="Times New Roman" w:hAnsi="Times New Roman" w:eastAsia="仿宋_GB2312"/>
          <w:b w:val="0"/>
          <w:bCs w:val="0"/>
          <w:sz w:val="32"/>
          <w:szCs w:val="20"/>
        </w:rPr>
        <w:t>2</w:t>
      </w:r>
      <w:r>
        <w:rPr>
          <w:rFonts w:hint="eastAsia" w:ascii="Times New Roman" w:hAnsi="Times New Roman" w:eastAsia="仿宋_GB2312"/>
          <w:b w:val="0"/>
          <w:bCs w:val="0"/>
          <w:sz w:val="32"/>
          <w:szCs w:val="20"/>
          <w:lang w:val="en-US" w:eastAsia="zh-CN"/>
        </w:rPr>
        <w:t>3</w:t>
      </w:r>
      <w:r>
        <w:rPr>
          <w:rFonts w:ascii="Times New Roman" w:hAnsi="Times New Roman" w:eastAsia="仿宋_GB2312"/>
          <w:b w:val="0"/>
          <w:bCs w:val="0"/>
          <w:sz w:val="32"/>
          <w:szCs w:val="20"/>
        </w:rPr>
        <w:t>00</w:t>
      </w:r>
      <w:r>
        <w:rPr>
          <w:rFonts w:hint="eastAsia" w:eastAsia="仿宋_GB2312"/>
          <w:b w:val="0"/>
          <w:bCs w:val="0"/>
          <w:sz w:val="32"/>
          <w:szCs w:val="20"/>
          <w:lang w:val="en-US" w:eastAsia="zh-CN"/>
        </w:rPr>
        <w:t>06</w:t>
      </w:r>
      <w:r>
        <w:rPr>
          <w:rFonts w:hint="eastAsia" w:ascii="Times New Roman" w:hAnsi="Times New Roman" w:eastAsia="仿宋_GB2312"/>
          <w:b w:val="0"/>
          <w:bCs w:val="0"/>
          <w:sz w:val="32"/>
          <w:szCs w:val="20"/>
        </w:rPr>
        <w:t>X</w:t>
      </w:r>
      <w:r>
        <w:rPr>
          <w:rFonts w:hint="eastAsia" w:ascii="仿宋" w:hAnsi="仿宋" w:eastAsia="仿宋" w:cs="仿宋"/>
          <w:color w:val="000000" w:themeColor="text1"/>
          <w:sz w:val="32"/>
          <w:szCs w:val="32"/>
          <w:highlight w:val="none"/>
          <w14:textFill>
            <w14:solidFill>
              <w14:schemeClr w14:val="tx1"/>
            </w14:solidFill>
          </w14:textFill>
        </w:rPr>
        <w:t>号）的有关要求进行建设。</w:t>
      </w:r>
    </w:p>
    <w:p>
      <w:pPr>
        <w:spacing w:line="538" w:lineRule="exact"/>
        <w:ind w:left="0" w:firstLine="643" w:firstLineChars="200"/>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二号地块：</w:t>
      </w:r>
    </w:p>
    <w:p>
      <w:pPr>
        <w:spacing w:line="540"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（一）地块</w:t>
      </w:r>
      <w:r>
        <w:rPr>
          <w:rFonts w:hint="eastAsia" w:ascii="仿宋" w:hAnsi="仿宋" w:eastAsia="仿宋"/>
          <w:color w:val="000000" w:themeColor="text1"/>
          <w:sz w:val="32"/>
          <w:szCs w:val="32"/>
          <w:lang w:val="en-US" w:eastAsia="zh-CN"/>
          <w14:textFill>
            <w14:solidFill>
              <w14:schemeClr w14:val="tx1"/>
            </w14:solidFill>
          </w14:textFill>
        </w:rPr>
        <w:t>位置：</w:t>
      </w:r>
      <w:r>
        <w:rPr>
          <w:rFonts w:hint="eastAsia" w:ascii="仿宋" w:hAnsi="仿宋" w:eastAsia="仿宋"/>
          <w:color w:val="000000" w:themeColor="text1"/>
          <w:sz w:val="32"/>
          <w:szCs w:val="32"/>
          <w:lang w:eastAsia="zh-CN"/>
          <w14:textFill>
            <w14:solidFill>
              <w14:schemeClr w14:val="tx1"/>
            </w14:solidFill>
          </w14:textFill>
        </w:rPr>
        <w:t>低碳产业园区</w:t>
      </w:r>
      <w:r>
        <w:rPr>
          <w:rFonts w:hint="eastAsia" w:ascii="仿宋" w:hAnsi="仿宋" w:eastAsia="仿宋"/>
          <w:color w:val="000000" w:themeColor="text1"/>
          <w:sz w:val="32"/>
          <w:szCs w:val="32"/>
          <w:lang w:val="en-US" w:eastAsia="zh-CN"/>
          <w14:textFill>
            <w14:solidFill>
              <w14:schemeClr w14:val="tx1"/>
            </w14:solidFill>
          </w14:textFill>
        </w:rPr>
        <w:t>；</w:t>
      </w:r>
    </w:p>
    <w:p>
      <w:pPr>
        <w:spacing w:line="540"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（二）出让面积：10932.99平方米（约16.4亩）；</w:t>
      </w:r>
    </w:p>
    <w:p>
      <w:pPr>
        <w:spacing w:line="540"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（三）土地用途：商务用地；</w:t>
      </w:r>
    </w:p>
    <w:p>
      <w:pPr>
        <w:spacing w:line="540"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（四）使用年期：商务用地：40年；</w:t>
      </w:r>
    </w:p>
    <w:p>
      <w:pPr>
        <w:spacing w:line="540"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（五）建设时间：出让合同约定的动工开发期限内动工，二年内建设完成；</w:t>
      </w:r>
    </w:p>
    <w:p>
      <w:pPr>
        <w:spacing w:line="540"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（六）规划用地性质：商务用地；</w:t>
      </w:r>
    </w:p>
    <w:p>
      <w:pPr>
        <w:spacing w:line="540"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（七）容积率：≤2.0；</w:t>
      </w:r>
    </w:p>
    <w:p>
      <w:pPr>
        <w:spacing w:line="540"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（八）</w:t>
      </w:r>
      <w:r>
        <w:rPr>
          <w:rFonts w:hint="eastAsia" w:ascii="仿宋" w:hAnsi="仿宋" w:eastAsia="仿宋"/>
          <w:color w:val="000000" w:themeColor="text1"/>
          <w:sz w:val="32"/>
          <w:szCs w:val="32"/>
          <w14:textFill>
            <w14:solidFill>
              <w14:schemeClr w14:val="tx1"/>
            </w14:solidFill>
          </w14:textFill>
        </w:rPr>
        <w:t>建筑限高：≤</w:t>
      </w:r>
      <w:r>
        <w:rPr>
          <w:rFonts w:hint="eastAsia" w:ascii="仿宋" w:hAnsi="仿宋" w:eastAsia="仿宋"/>
          <w:color w:val="000000" w:themeColor="text1"/>
          <w:sz w:val="32"/>
          <w:szCs w:val="32"/>
          <w:lang w:val="en-US" w:eastAsia="zh-CN"/>
          <w14:textFill>
            <w14:solidFill>
              <w14:schemeClr w14:val="tx1"/>
            </w14:solidFill>
          </w14:textFill>
        </w:rPr>
        <w:t>40米</w:t>
      </w:r>
      <w:r>
        <w:rPr>
          <w:rFonts w:hint="eastAsia" w:ascii="仿宋" w:hAnsi="仿宋" w:eastAsia="仿宋"/>
          <w:color w:val="000000" w:themeColor="text1"/>
          <w:sz w:val="32"/>
          <w:szCs w:val="32"/>
          <w:lang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九</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绿地率：</w:t>
      </w:r>
      <w:r>
        <w:rPr>
          <w:rFonts w:hint="eastAsia" w:ascii="仿宋" w:hAnsi="仿宋" w:eastAsia="仿宋" w:cs="仿宋"/>
          <w:color w:val="000000" w:themeColor="text1"/>
          <w:sz w:val="32"/>
          <w:szCs w:val="32"/>
          <w:highlight w:val="none"/>
          <w:lang w:val="en-US" w:eastAsia="zh-CN"/>
          <w14:textFill>
            <w14:solidFill>
              <w14:schemeClr w14:val="tx1"/>
            </w14:solidFill>
          </w14:textFill>
        </w:rPr>
        <w:t>≥20</w:t>
      </w:r>
      <w:r>
        <w:rPr>
          <w:rFonts w:hint="eastAsia" w:ascii="Times New Roman" w:hAnsi="Times New Roman" w:eastAsia="仿宋_GB2312"/>
          <w:b w:val="0"/>
          <w:bCs w:val="0"/>
          <w:sz w:val="32"/>
          <w:szCs w:val="32"/>
          <w:lang w:val="en-US" w:eastAsia="zh-CN"/>
        </w:rPr>
        <w:t>%</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十</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建筑</w:t>
      </w:r>
      <w:r>
        <w:rPr>
          <w:rFonts w:hint="eastAsia" w:eastAsia="仿宋_GB2312"/>
          <w:b w:val="0"/>
          <w:bCs w:val="0"/>
          <w:sz w:val="32"/>
          <w:szCs w:val="32"/>
          <w:lang w:val="en-US" w:eastAsia="zh-CN"/>
        </w:rPr>
        <w:t>密度</w:t>
      </w:r>
      <w:r>
        <w:rPr>
          <w:rFonts w:hint="eastAsia" w:ascii="Times New Roman" w:hAnsi="Times New Roman" w:eastAsia="仿宋_GB2312"/>
          <w:b w:val="0"/>
          <w:bCs w:val="0"/>
          <w:sz w:val="32"/>
          <w:szCs w:val="32"/>
          <w:lang w:val="en-US" w:eastAsia="zh-CN"/>
        </w:rPr>
        <w:t>：</w:t>
      </w:r>
      <w:r>
        <w:rPr>
          <w:rFonts w:hint="eastAsia" w:ascii="仿宋" w:hAnsi="仿宋" w:eastAsia="仿宋"/>
          <w:spacing w:val="-9"/>
          <w:sz w:val="32"/>
          <w:szCs w:val="32"/>
        </w:rPr>
        <w:t>≤</w:t>
      </w:r>
      <w:r>
        <w:rPr>
          <w:rFonts w:hint="eastAsia" w:ascii="仿宋" w:hAnsi="仿宋" w:eastAsia="仿宋"/>
          <w:spacing w:val="-9"/>
          <w:sz w:val="32"/>
          <w:szCs w:val="32"/>
          <w:lang w:val="en-US" w:eastAsia="zh-CN"/>
        </w:rPr>
        <w:t>35</w:t>
      </w:r>
      <w:r>
        <w:rPr>
          <w:rFonts w:hint="eastAsia" w:ascii="仿宋" w:hAnsi="仿宋" w:eastAsia="仿宋"/>
          <w:spacing w:val="-9"/>
          <w:sz w:val="32"/>
          <w:szCs w:val="32"/>
        </w:rPr>
        <w:t>%</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（十一）</w:t>
      </w:r>
      <w:r>
        <w:rPr>
          <w:rFonts w:hint="eastAsia" w:ascii="仿宋" w:hAnsi="仿宋" w:eastAsia="仿宋" w:cs="仿宋"/>
          <w:color w:val="000000" w:themeColor="text1"/>
          <w:sz w:val="32"/>
          <w:szCs w:val="32"/>
          <w:highlight w:val="none"/>
          <w14:textFill>
            <w14:solidFill>
              <w14:schemeClr w14:val="tx1"/>
            </w14:solidFill>
          </w14:textFill>
        </w:rPr>
        <w:t>建筑退线要求：满足规划设计条件要求；</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（十二）</w:t>
      </w:r>
      <w:r>
        <w:rPr>
          <w:rFonts w:hint="eastAsia" w:ascii="仿宋" w:hAnsi="仿宋" w:eastAsia="仿宋" w:cs="仿宋"/>
          <w:color w:val="000000" w:themeColor="text1"/>
          <w:sz w:val="32"/>
          <w:szCs w:val="32"/>
          <w:highlight w:val="none"/>
          <w14:textFill>
            <w14:solidFill>
              <w14:schemeClr w14:val="tx1"/>
            </w14:solidFill>
          </w14:textFill>
        </w:rPr>
        <w:t>出让地块的空间范围须符合城市规划管理的有关要求；</w:t>
      </w:r>
    </w:p>
    <w:p>
      <w:pPr>
        <w:spacing w:line="538" w:lineRule="exact"/>
        <w:ind w:left="0"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（十三）</w:t>
      </w:r>
      <w:r>
        <w:rPr>
          <w:rFonts w:hint="eastAsia" w:ascii="仿宋" w:hAnsi="仿宋" w:eastAsia="仿宋" w:cs="仿宋"/>
          <w:color w:val="000000" w:themeColor="text1"/>
          <w:sz w:val="32"/>
          <w:szCs w:val="32"/>
          <w:highlight w:val="none"/>
          <w14:textFill>
            <w14:solidFill>
              <w14:schemeClr w14:val="tx1"/>
            </w14:solidFill>
          </w14:textFill>
        </w:rPr>
        <w:t>其他规划要求以规划条件书为准。</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w:t>
      </w:r>
      <w:r>
        <w:rPr>
          <w:rFonts w:hint="eastAsia" w:ascii="仿宋" w:hAnsi="仿宋" w:eastAsia="仿宋"/>
          <w:color w:val="000000" w:themeColor="text1"/>
          <w:sz w:val="32"/>
          <w:szCs w:val="32"/>
          <w:lang w:eastAsia="zh-CN"/>
          <w14:textFill>
            <w14:solidFill>
              <w14:schemeClr w14:val="tx1"/>
            </w14:solidFill>
          </w14:textFill>
        </w:rPr>
        <w:t>四</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该地块用</w:t>
      </w:r>
      <w:r>
        <w:rPr>
          <w:rFonts w:hint="eastAsia" w:ascii="仿宋" w:hAnsi="仿宋" w:eastAsia="仿宋" w:cs="仿宋"/>
          <w:color w:val="000000" w:themeColor="text1"/>
          <w:kern w:val="2"/>
          <w:sz w:val="32"/>
          <w:szCs w:val="32"/>
          <w:highlight w:val="none"/>
          <w:vertAlign w:val="baseline"/>
          <w:lang w:val="en-US" w:eastAsia="zh-CN" w:bidi="ar"/>
          <w14:textFill>
            <w14:solidFill>
              <w14:schemeClr w14:val="tx1"/>
            </w14:solidFill>
          </w14:textFill>
        </w:rPr>
        <w:t>地范围属于《乌海市海南区2022年度第一批次建设用地》（内政土发[2022]315号），现净地挂牌。</w:t>
      </w:r>
      <w:r>
        <w:rPr>
          <w:rFonts w:hint="eastAsia" w:ascii="仿宋" w:hAnsi="仿宋" w:eastAsia="仿宋" w:cs="仿宋"/>
          <w:color w:val="000000" w:themeColor="text1"/>
          <w:sz w:val="32"/>
          <w:szCs w:val="32"/>
          <w:highlight w:val="none"/>
          <w14:textFill>
            <w14:solidFill>
              <w14:schemeClr w14:val="tx1"/>
            </w14:solidFill>
          </w14:textFill>
        </w:rPr>
        <w:t>该出让地块范围内如有树木、供电、市政设施等，受让人可结合规划设计方案保留，对不需要保留的，由受让人自行与有关部门解决，并承担所需费用。如需要考古或地下有</w:t>
      </w:r>
      <w:r>
        <w:rPr>
          <w:rFonts w:hint="eastAsia" w:ascii="仿宋" w:hAnsi="仿宋" w:eastAsia="仿宋" w:cs="仿宋"/>
          <w:color w:val="000000" w:themeColor="text1"/>
          <w:sz w:val="32"/>
          <w:szCs w:val="32"/>
          <w:highlight w:val="none"/>
          <w:lang w:eastAsia="zh-CN"/>
          <w14:textFill>
            <w14:solidFill>
              <w14:schemeClr w14:val="tx1"/>
            </w14:solidFill>
          </w14:textFill>
        </w:rPr>
        <w:t>资源、</w:t>
      </w:r>
      <w:r>
        <w:rPr>
          <w:rFonts w:hint="eastAsia" w:ascii="仿宋" w:hAnsi="仿宋" w:eastAsia="仿宋" w:cs="仿宋"/>
          <w:color w:val="000000" w:themeColor="text1"/>
          <w:sz w:val="32"/>
          <w:szCs w:val="32"/>
          <w:highlight w:val="none"/>
          <w14:textFill>
            <w14:solidFill>
              <w14:schemeClr w14:val="tx1"/>
            </w14:solidFill>
          </w14:textFill>
        </w:rPr>
        <w:t>构筑物、其他设施等，由受让人自行与有关部门协商解决，并承担所需费用。</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（十</w:t>
      </w:r>
      <w:r>
        <w:rPr>
          <w:rFonts w:hint="eastAsia" w:ascii="仿宋" w:hAnsi="仿宋" w:eastAsia="仿宋"/>
          <w:color w:val="000000" w:themeColor="text1"/>
          <w:sz w:val="32"/>
          <w:szCs w:val="32"/>
          <w:lang w:eastAsia="zh-CN"/>
          <w14:textFill>
            <w14:solidFill>
              <w14:schemeClr w14:val="tx1"/>
            </w14:solidFill>
          </w14:textFill>
        </w:rPr>
        <w:t>五</w:t>
      </w:r>
      <w:r>
        <w:rPr>
          <w:rFonts w:hint="eastAsia" w:ascii="仿宋" w:hAnsi="仿宋" w:eastAsia="仿宋"/>
          <w:color w:val="000000" w:themeColor="text1"/>
          <w:sz w:val="32"/>
          <w:szCs w:val="32"/>
          <w14:textFill>
            <w14:solidFill>
              <w14:schemeClr w14:val="tx1"/>
            </w14:solidFill>
          </w14:textFill>
        </w:rPr>
        <w:t>）其他要求：出让地块的空间范围须符合城市规划管理的有关</w:t>
      </w:r>
      <w:r>
        <w:rPr>
          <w:rFonts w:hint="eastAsia" w:ascii="仿宋" w:hAnsi="仿宋" w:eastAsia="仿宋" w:cs="仿宋"/>
          <w:color w:val="000000" w:themeColor="text1"/>
          <w:sz w:val="32"/>
          <w:szCs w:val="32"/>
          <w:highlight w:val="none"/>
          <w14:textFill>
            <w14:solidFill>
              <w14:schemeClr w14:val="tx1"/>
            </w14:solidFill>
          </w14:textFill>
        </w:rPr>
        <w:t>要求，必须严格按照《内蒙古自治区建设用地规划条件书》（条字第：</w:t>
      </w:r>
      <w:r>
        <w:rPr>
          <w:rFonts w:ascii="Times New Roman" w:hAnsi="Times New Roman" w:eastAsia="仿宋_GB2312"/>
          <w:b w:val="0"/>
          <w:bCs w:val="0"/>
          <w:sz w:val="32"/>
          <w:szCs w:val="20"/>
        </w:rPr>
        <w:t>15030</w:t>
      </w:r>
      <w:r>
        <w:rPr>
          <w:rFonts w:hint="eastAsia" w:ascii="Times New Roman" w:hAnsi="Times New Roman" w:eastAsia="仿宋_GB2312"/>
          <w:b w:val="0"/>
          <w:bCs w:val="0"/>
          <w:sz w:val="32"/>
          <w:szCs w:val="20"/>
        </w:rPr>
        <w:t>3</w:t>
      </w:r>
      <w:r>
        <w:rPr>
          <w:rFonts w:ascii="Times New Roman" w:hAnsi="Times New Roman" w:eastAsia="仿宋_GB2312"/>
          <w:b w:val="0"/>
          <w:bCs w:val="0"/>
          <w:sz w:val="32"/>
          <w:szCs w:val="20"/>
        </w:rPr>
        <w:t>20</w:t>
      </w:r>
      <w:r>
        <w:rPr>
          <w:rFonts w:hint="eastAsia" w:ascii="Times New Roman" w:hAnsi="Times New Roman" w:eastAsia="仿宋_GB2312"/>
          <w:b w:val="0"/>
          <w:bCs w:val="0"/>
          <w:sz w:val="32"/>
          <w:szCs w:val="20"/>
        </w:rPr>
        <w:t>2</w:t>
      </w:r>
      <w:r>
        <w:rPr>
          <w:rFonts w:hint="eastAsia" w:ascii="Times New Roman" w:hAnsi="Times New Roman" w:eastAsia="仿宋_GB2312"/>
          <w:b w:val="0"/>
          <w:bCs w:val="0"/>
          <w:sz w:val="32"/>
          <w:szCs w:val="20"/>
          <w:lang w:val="en-US" w:eastAsia="zh-CN"/>
        </w:rPr>
        <w:t>3</w:t>
      </w:r>
      <w:r>
        <w:rPr>
          <w:rFonts w:ascii="Times New Roman" w:hAnsi="Times New Roman" w:eastAsia="仿宋_GB2312"/>
          <w:b w:val="0"/>
          <w:bCs w:val="0"/>
          <w:sz w:val="32"/>
          <w:szCs w:val="20"/>
        </w:rPr>
        <w:t>00</w:t>
      </w:r>
      <w:r>
        <w:rPr>
          <w:rFonts w:hint="eastAsia" w:eastAsia="仿宋_GB2312"/>
          <w:b w:val="0"/>
          <w:bCs w:val="0"/>
          <w:sz w:val="32"/>
          <w:szCs w:val="20"/>
          <w:lang w:val="en-US" w:eastAsia="zh-CN"/>
        </w:rPr>
        <w:t>08</w:t>
      </w:r>
      <w:r>
        <w:rPr>
          <w:rFonts w:hint="eastAsia" w:ascii="Times New Roman" w:hAnsi="Times New Roman" w:eastAsia="仿宋_GB2312"/>
          <w:b w:val="0"/>
          <w:bCs w:val="0"/>
          <w:sz w:val="32"/>
          <w:szCs w:val="20"/>
        </w:rPr>
        <w:t>X</w:t>
      </w:r>
      <w:r>
        <w:rPr>
          <w:rFonts w:hint="eastAsia" w:ascii="仿宋" w:hAnsi="仿宋" w:eastAsia="仿宋" w:cs="仿宋"/>
          <w:color w:val="000000" w:themeColor="text1"/>
          <w:sz w:val="32"/>
          <w:szCs w:val="32"/>
          <w:highlight w:val="none"/>
          <w14:textFill>
            <w14:solidFill>
              <w14:schemeClr w14:val="tx1"/>
            </w14:solidFill>
          </w14:textFill>
        </w:rPr>
        <w:t>号）的有关要求进行建设。</w:t>
      </w:r>
    </w:p>
    <w:p>
      <w:pPr>
        <w:spacing w:line="538" w:lineRule="exact"/>
        <w:ind w:left="0" w:firstLine="643" w:firstLineChars="200"/>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三号地块：</w:t>
      </w:r>
    </w:p>
    <w:p>
      <w:pPr>
        <w:spacing w:line="540"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（一）地</w:t>
      </w:r>
      <w:r>
        <w:rPr>
          <w:rFonts w:hint="eastAsia" w:ascii="仿宋" w:hAnsi="仿宋" w:eastAsia="仿宋"/>
          <w:color w:val="000000" w:themeColor="text1"/>
          <w:sz w:val="32"/>
          <w:szCs w:val="32"/>
          <w:lang w:val="en-US" w:eastAsia="zh-CN"/>
          <w14:textFill>
            <w14:solidFill>
              <w14:schemeClr w14:val="tx1"/>
            </w14:solidFill>
          </w14:textFill>
        </w:rPr>
        <w:t>块位置：</w:t>
      </w:r>
      <w:r>
        <w:rPr>
          <w:rFonts w:hint="eastAsia" w:ascii="仿宋" w:hAnsi="仿宋" w:eastAsia="仿宋"/>
          <w:color w:val="000000" w:themeColor="text1"/>
          <w:sz w:val="32"/>
          <w:szCs w:val="32"/>
          <w:lang w:eastAsia="zh-CN"/>
          <w14:textFill>
            <w14:solidFill>
              <w14:schemeClr w14:val="tx1"/>
            </w14:solidFill>
          </w14:textFill>
        </w:rPr>
        <w:t>低碳产业园区</w:t>
      </w:r>
      <w:r>
        <w:rPr>
          <w:rFonts w:hint="eastAsia" w:ascii="仿宋" w:hAnsi="仿宋" w:eastAsia="仿宋"/>
          <w:color w:val="000000" w:themeColor="text1"/>
          <w:sz w:val="32"/>
          <w:szCs w:val="32"/>
          <w:lang w:val="en-US" w:eastAsia="zh-CN"/>
          <w14:textFill>
            <w14:solidFill>
              <w14:schemeClr w14:val="tx1"/>
            </w14:solidFill>
          </w14:textFill>
        </w:rPr>
        <w:t>；</w:t>
      </w:r>
    </w:p>
    <w:p>
      <w:pPr>
        <w:spacing w:line="540"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（二）出让面积：4226.49平方米（约6.3亩）；</w:t>
      </w:r>
    </w:p>
    <w:p>
      <w:pPr>
        <w:spacing w:line="540"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（三）土地用途：商业用地；</w:t>
      </w:r>
    </w:p>
    <w:p>
      <w:pPr>
        <w:spacing w:line="540"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（四）使用年期：商业用地：40年；</w:t>
      </w:r>
    </w:p>
    <w:p>
      <w:pPr>
        <w:spacing w:line="540"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（五）建设时间：出让合同约定的动工开发期限内动工，二年内建设完成；</w:t>
      </w:r>
    </w:p>
    <w:p>
      <w:pPr>
        <w:spacing w:line="540"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（六）规划用地性质：商业用地；</w:t>
      </w:r>
    </w:p>
    <w:p>
      <w:pPr>
        <w:spacing w:line="540"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（七）容积率：</w:t>
      </w:r>
      <w:r>
        <w:rPr>
          <w:rFonts w:hint="eastAsia" w:ascii="仿宋" w:hAnsi="仿宋" w:eastAsia="仿宋"/>
          <w:color w:val="000000" w:themeColor="text1"/>
          <w:sz w:val="32"/>
          <w:szCs w:val="32"/>
          <w:lang w:eastAsia="zh-CN"/>
          <w14:textFill>
            <w14:solidFill>
              <w14:schemeClr w14:val="tx1"/>
            </w14:solidFill>
          </w14:textFill>
        </w:rPr>
        <w:t>＜2.5</w:t>
      </w:r>
      <w:r>
        <w:rPr>
          <w:rFonts w:hint="eastAsia" w:ascii="仿宋" w:hAnsi="仿宋" w:eastAsia="仿宋"/>
          <w:color w:val="000000" w:themeColor="text1"/>
          <w:sz w:val="32"/>
          <w:szCs w:val="32"/>
          <w:lang w:val="en-US" w:eastAsia="zh-CN"/>
          <w14:textFill>
            <w14:solidFill>
              <w14:schemeClr w14:val="tx1"/>
            </w14:solidFill>
          </w14:textFill>
        </w:rPr>
        <w:t>；</w:t>
      </w:r>
    </w:p>
    <w:p>
      <w:pPr>
        <w:spacing w:line="540"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（八）</w:t>
      </w:r>
      <w:r>
        <w:rPr>
          <w:rFonts w:hint="eastAsia" w:ascii="仿宋" w:hAnsi="仿宋" w:eastAsia="仿宋"/>
          <w:color w:val="000000" w:themeColor="text1"/>
          <w:sz w:val="32"/>
          <w:szCs w:val="32"/>
          <w14:textFill>
            <w14:solidFill>
              <w14:schemeClr w14:val="tx1"/>
            </w14:solidFill>
          </w14:textFill>
        </w:rPr>
        <w:t>建筑限高：≤</w:t>
      </w:r>
      <w:r>
        <w:rPr>
          <w:rFonts w:hint="eastAsia" w:ascii="仿宋" w:hAnsi="仿宋" w:eastAsia="仿宋"/>
          <w:color w:val="000000" w:themeColor="text1"/>
          <w:sz w:val="32"/>
          <w:szCs w:val="32"/>
          <w:lang w:val="en-US" w:eastAsia="zh-CN"/>
          <w14:textFill>
            <w14:solidFill>
              <w14:schemeClr w14:val="tx1"/>
            </w14:solidFill>
          </w14:textFill>
        </w:rPr>
        <w:t>40米</w:t>
      </w:r>
      <w:r>
        <w:rPr>
          <w:rFonts w:hint="eastAsia" w:ascii="仿宋" w:hAnsi="仿宋" w:eastAsia="仿宋"/>
          <w:color w:val="000000" w:themeColor="text1"/>
          <w:sz w:val="32"/>
          <w:szCs w:val="32"/>
          <w:lang w:eastAsia="zh-CN"/>
          <w14:textFill>
            <w14:solidFill>
              <w14:schemeClr w14:val="tx1"/>
            </w14:solidFill>
          </w14:textFill>
        </w:rPr>
        <w:t>；</w:t>
      </w:r>
    </w:p>
    <w:p>
      <w:pPr>
        <w:spacing w:line="540"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九</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绿地率：≥30%</w:t>
      </w:r>
      <w:r>
        <w:rPr>
          <w:rFonts w:hint="eastAsia" w:ascii="仿宋" w:hAnsi="仿宋" w:eastAsia="仿宋"/>
          <w:color w:val="000000" w:themeColor="text1"/>
          <w:sz w:val="32"/>
          <w:szCs w:val="32"/>
          <w14:textFill>
            <w14:solidFill>
              <w14:schemeClr w14:val="tx1"/>
            </w14:solidFill>
          </w14:textFill>
        </w:rPr>
        <w:t>；</w:t>
      </w:r>
    </w:p>
    <w:p>
      <w:pPr>
        <w:spacing w:line="540"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十</w:t>
      </w:r>
      <w:r>
        <w:rPr>
          <w:rFonts w:hint="eastAsia" w:ascii="仿宋" w:hAnsi="仿宋" w:eastAsia="仿宋"/>
          <w:color w:val="000000" w:themeColor="text1"/>
          <w:sz w:val="32"/>
          <w:szCs w:val="32"/>
          <w14:textFill>
            <w14:solidFill>
              <w14:schemeClr w14:val="tx1"/>
            </w14:solidFill>
          </w14:textFill>
        </w:rPr>
        <w:t>）建筑</w:t>
      </w:r>
      <w:r>
        <w:rPr>
          <w:rFonts w:hint="eastAsia" w:ascii="仿宋" w:hAnsi="仿宋" w:eastAsia="仿宋"/>
          <w:color w:val="000000" w:themeColor="text1"/>
          <w:sz w:val="32"/>
          <w:szCs w:val="32"/>
          <w:lang w:val="en-US" w:eastAsia="zh-CN"/>
          <w14:textFill>
            <w14:solidFill>
              <w14:schemeClr w14:val="tx1"/>
            </w14:solidFill>
          </w14:textFill>
        </w:rPr>
        <w:t>密度：</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40</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（十一）</w:t>
      </w:r>
      <w:r>
        <w:rPr>
          <w:rFonts w:hint="eastAsia" w:ascii="仿宋" w:hAnsi="仿宋" w:eastAsia="仿宋" w:cs="仿宋"/>
          <w:color w:val="000000" w:themeColor="text1"/>
          <w:sz w:val="32"/>
          <w:szCs w:val="32"/>
          <w:highlight w:val="none"/>
          <w14:textFill>
            <w14:solidFill>
              <w14:schemeClr w14:val="tx1"/>
            </w14:solidFill>
          </w14:textFill>
        </w:rPr>
        <w:t>建筑退线要求：满足规划设计条件要求；</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（十二）</w:t>
      </w:r>
      <w:r>
        <w:rPr>
          <w:rFonts w:hint="eastAsia" w:ascii="仿宋" w:hAnsi="仿宋" w:eastAsia="仿宋" w:cs="仿宋"/>
          <w:color w:val="000000" w:themeColor="text1"/>
          <w:sz w:val="32"/>
          <w:szCs w:val="32"/>
          <w:highlight w:val="none"/>
          <w14:textFill>
            <w14:solidFill>
              <w14:schemeClr w14:val="tx1"/>
            </w14:solidFill>
          </w14:textFill>
        </w:rPr>
        <w:t>出让地块的空间范围须符合城市规划管理的有关要求；</w:t>
      </w:r>
    </w:p>
    <w:p>
      <w:pPr>
        <w:spacing w:line="538" w:lineRule="exact"/>
        <w:ind w:left="0"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（十三）</w:t>
      </w:r>
      <w:r>
        <w:rPr>
          <w:rFonts w:hint="eastAsia" w:ascii="仿宋" w:hAnsi="仿宋" w:eastAsia="仿宋" w:cs="仿宋"/>
          <w:color w:val="000000" w:themeColor="text1"/>
          <w:sz w:val="32"/>
          <w:szCs w:val="32"/>
          <w:highlight w:val="none"/>
          <w14:textFill>
            <w14:solidFill>
              <w14:schemeClr w14:val="tx1"/>
            </w14:solidFill>
          </w14:textFill>
        </w:rPr>
        <w:t>其他规划要求以规划条件书为准。</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w:t>
      </w:r>
      <w:r>
        <w:rPr>
          <w:rFonts w:hint="eastAsia" w:ascii="仿宋" w:hAnsi="仿宋" w:eastAsia="仿宋"/>
          <w:color w:val="000000" w:themeColor="text1"/>
          <w:sz w:val="32"/>
          <w:szCs w:val="32"/>
          <w:lang w:eastAsia="zh-CN"/>
          <w14:textFill>
            <w14:solidFill>
              <w14:schemeClr w14:val="tx1"/>
            </w14:solidFill>
          </w14:textFill>
        </w:rPr>
        <w:t>四</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该地块用</w:t>
      </w:r>
      <w:r>
        <w:rPr>
          <w:rFonts w:hint="eastAsia" w:ascii="仿宋" w:hAnsi="仿宋" w:eastAsia="仿宋" w:cs="仿宋"/>
          <w:color w:val="000000" w:themeColor="text1"/>
          <w:kern w:val="2"/>
          <w:sz w:val="32"/>
          <w:szCs w:val="32"/>
          <w:highlight w:val="none"/>
          <w:vertAlign w:val="baseline"/>
          <w:lang w:val="en-US" w:eastAsia="zh-CN" w:bidi="ar"/>
          <w14:textFill>
            <w14:solidFill>
              <w14:schemeClr w14:val="tx1"/>
            </w14:solidFill>
          </w14:textFill>
        </w:rPr>
        <w:t>地范围属于《乌海市海南区2023年度第二批次建设用地》（内政土发[2023]721号），现净地挂牌。</w:t>
      </w:r>
      <w:r>
        <w:rPr>
          <w:rFonts w:hint="eastAsia" w:ascii="仿宋" w:hAnsi="仿宋" w:eastAsia="仿宋" w:cs="仿宋"/>
          <w:color w:val="000000" w:themeColor="text1"/>
          <w:sz w:val="32"/>
          <w:szCs w:val="32"/>
          <w:highlight w:val="none"/>
          <w14:textFill>
            <w14:solidFill>
              <w14:schemeClr w14:val="tx1"/>
            </w14:solidFill>
          </w14:textFill>
        </w:rPr>
        <w:t>该出让地块范围内如有树木、供电、市政设施等，受让人可结合规划设计方案保留，对不需要保留的，由受让人自行与有关部门解决，并承担所需费用。如需要考古或地下有</w:t>
      </w:r>
      <w:r>
        <w:rPr>
          <w:rFonts w:hint="eastAsia" w:ascii="仿宋" w:hAnsi="仿宋" w:eastAsia="仿宋" w:cs="仿宋"/>
          <w:color w:val="000000" w:themeColor="text1"/>
          <w:sz w:val="32"/>
          <w:szCs w:val="32"/>
          <w:highlight w:val="none"/>
          <w:lang w:eastAsia="zh-CN"/>
          <w14:textFill>
            <w14:solidFill>
              <w14:schemeClr w14:val="tx1"/>
            </w14:solidFill>
          </w14:textFill>
        </w:rPr>
        <w:t>资源、</w:t>
      </w:r>
      <w:r>
        <w:rPr>
          <w:rFonts w:hint="eastAsia" w:ascii="仿宋" w:hAnsi="仿宋" w:eastAsia="仿宋" w:cs="仿宋"/>
          <w:color w:val="000000" w:themeColor="text1"/>
          <w:sz w:val="32"/>
          <w:szCs w:val="32"/>
          <w:highlight w:val="none"/>
          <w14:textFill>
            <w14:solidFill>
              <w14:schemeClr w14:val="tx1"/>
            </w14:solidFill>
          </w14:textFill>
        </w:rPr>
        <w:t>构筑物、其他设施等，由受让人自行与有关部门协商解决，并承担所需费用。</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（十</w:t>
      </w:r>
      <w:r>
        <w:rPr>
          <w:rFonts w:hint="eastAsia" w:ascii="仿宋" w:hAnsi="仿宋" w:eastAsia="仿宋"/>
          <w:color w:val="000000" w:themeColor="text1"/>
          <w:sz w:val="32"/>
          <w:szCs w:val="32"/>
          <w:lang w:eastAsia="zh-CN"/>
          <w14:textFill>
            <w14:solidFill>
              <w14:schemeClr w14:val="tx1"/>
            </w14:solidFill>
          </w14:textFill>
        </w:rPr>
        <w:t>五</w:t>
      </w:r>
      <w:r>
        <w:rPr>
          <w:rFonts w:hint="eastAsia" w:ascii="仿宋" w:hAnsi="仿宋" w:eastAsia="仿宋"/>
          <w:color w:val="000000" w:themeColor="text1"/>
          <w:sz w:val="32"/>
          <w:szCs w:val="32"/>
          <w14:textFill>
            <w14:solidFill>
              <w14:schemeClr w14:val="tx1"/>
            </w14:solidFill>
          </w14:textFill>
        </w:rPr>
        <w:t>）其他要求：出让地块的空间范围须符合城市规划管理的有关</w:t>
      </w:r>
      <w:r>
        <w:rPr>
          <w:rFonts w:hint="eastAsia" w:ascii="仿宋" w:hAnsi="仿宋" w:eastAsia="仿宋" w:cs="仿宋"/>
          <w:color w:val="000000" w:themeColor="text1"/>
          <w:sz w:val="32"/>
          <w:szCs w:val="32"/>
          <w:highlight w:val="none"/>
          <w14:textFill>
            <w14:solidFill>
              <w14:schemeClr w14:val="tx1"/>
            </w14:solidFill>
          </w14:textFill>
        </w:rPr>
        <w:t>要求，必须严格按照《内蒙古自治区建设用地规划条件书》（条字第：</w:t>
      </w:r>
      <w:r>
        <w:rPr>
          <w:rFonts w:ascii="Times New Roman" w:hAnsi="Times New Roman" w:eastAsia="仿宋_GB2312"/>
          <w:b w:val="0"/>
          <w:bCs w:val="0"/>
          <w:sz w:val="32"/>
          <w:szCs w:val="20"/>
        </w:rPr>
        <w:t>15030</w:t>
      </w:r>
      <w:r>
        <w:rPr>
          <w:rFonts w:hint="eastAsia" w:ascii="Times New Roman" w:hAnsi="Times New Roman" w:eastAsia="仿宋_GB2312"/>
          <w:b w:val="0"/>
          <w:bCs w:val="0"/>
          <w:sz w:val="32"/>
          <w:szCs w:val="20"/>
        </w:rPr>
        <w:t>3</w:t>
      </w:r>
      <w:r>
        <w:rPr>
          <w:rFonts w:ascii="Times New Roman" w:hAnsi="Times New Roman" w:eastAsia="仿宋_GB2312"/>
          <w:b w:val="0"/>
          <w:bCs w:val="0"/>
          <w:sz w:val="32"/>
          <w:szCs w:val="20"/>
        </w:rPr>
        <w:t>20</w:t>
      </w:r>
      <w:r>
        <w:rPr>
          <w:rFonts w:hint="eastAsia" w:ascii="Times New Roman" w:hAnsi="Times New Roman" w:eastAsia="仿宋_GB2312"/>
          <w:b w:val="0"/>
          <w:bCs w:val="0"/>
          <w:sz w:val="32"/>
          <w:szCs w:val="20"/>
        </w:rPr>
        <w:t>2</w:t>
      </w:r>
      <w:r>
        <w:rPr>
          <w:rFonts w:hint="eastAsia" w:ascii="Times New Roman" w:hAnsi="Times New Roman" w:eastAsia="仿宋_GB2312"/>
          <w:b w:val="0"/>
          <w:bCs w:val="0"/>
          <w:sz w:val="32"/>
          <w:szCs w:val="20"/>
          <w:lang w:val="en-US" w:eastAsia="zh-CN"/>
        </w:rPr>
        <w:t>3</w:t>
      </w:r>
      <w:r>
        <w:rPr>
          <w:rFonts w:ascii="Times New Roman" w:hAnsi="Times New Roman" w:eastAsia="仿宋_GB2312"/>
          <w:b w:val="0"/>
          <w:bCs w:val="0"/>
          <w:sz w:val="32"/>
          <w:szCs w:val="20"/>
        </w:rPr>
        <w:t>00</w:t>
      </w:r>
      <w:r>
        <w:rPr>
          <w:rFonts w:hint="eastAsia" w:eastAsia="仿宋_GB2312"/>
          <w:b w:val="0"/>
          <w:bCs w:val="0"/>
          <w:sz w:val="32"/>
          <w:szCs w:val="20"/>
          <w:lang w:val="en-US" w:eastAsia="zh-CN"/>
        </w:rPr>
        <w:t>11</w:t>
      </w:r>
      <w:r>
        <w:rPr>
          <w:rFonts w:hint="eastAsia" w:ascii="Times New Roman" w:hAnsi="Times New Roman" w:eastAsia="仿宋_GB2312"/>
          <w:b w:val="0"/>
          <w:bCs w:val="0"/>
          <w:sz w:val="32"/>
          <w:szCs w:val="20"/>
        </w:rPr>
        <w:t>X</w:t>
      </w:r>
      <w:r>
        <w:rPr>
          <w:rFonts w:hint="eastAsia" w:ascii="仿宋" w:hAnsi="仿宋" w:eastAsia="仿宋" w:cs="仿宋"/>
          <w:color w:val="000000" w:themeColor="text1"/>
          <w:sz w:val="32"/>
          <w:szCs w:val="32"/>
          <w:highlight w:val="none"/>
          <w14:textFill>
            <w14:solidFill>
              <w14:schemeClr w14:val="tx1"/>
            </w14:solidFill>
          </w14:textFill>
        </w:rPr>
        <w:t>号）的有关要求进行建设。</w:t>
      </w:r>
    </w:p>
    <w:p>
      <w:pPr>
        <w:spacing w:line="538" w:lineRule="exact"/>
        <w:ind w:left="0" w:firstLine="643" w:firstLineChars="200"/>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四号地块：</w:t>
      </w:r>
    </w:p>
    <w:p>
      <w:pPr>
        <w:spacing w:line="540"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（一）地</w:t>
      </w:r>
      <w:r>
        <w:rPr>
          <w:rFonts w:hint="eastAsia" w:ascii="仿宋" w:hAnsi="仿宋" w:eastAsia="仿宋"/>
          <w:color w:val="000000" w:themeColor="text1"/>
          <w:sz w:val="32"/>
          <w:szCs w:val="32"/>
          <w:lang w:val="en-US" w:eastAsia="zh-CN"/>
          <w14:textFill>
            <w14:solidFill>
              <w14:schemeClr w14:val="tx1"/>
            </w14:solidFill>
          </w14:textFill>
        </w:rPr>
        <w:t>块位置：</w:t>
      </w:r>
      <w:r>
        <w:rPr>
          <w:rFonts w:hint="eastAsia" w:ascii="仿宋" w:hAnsi="仿宋" w:eastAsia="仿宋"/>
          <w:color w:val="000000" w:themeColor="text1"/>
          <w:sz w:val="32"/>
          <w:szCs w:val="32"/>
          <w:lang w:eastAsia="zh-CN"/>
          <w14:textFill>
            <w14:solidFill>
              <w14:schemeClr w14:val="tx1"/>
            </w14:solidFill>
          </w14:textFill>
        </w:rPr>
        <w:t>低碳产业园区</w:t>
      </w:r>
      <w:r>
        <w:rPr>
          <w:rFonts w:hint="eastAsia" w:ascii="仿宋" w:hAnsi="仿宋" w:eastAsia="仿宋"/>
          <w:color w:val="000000" w:themeColor="text1"/>
          <w:sz w:val="32"/>
          <w:szCs w:val="32"/>
          <w:lang w:val="en-US" w:eastAsia="zh-CN"/>
          <w14:textFill>
            <w14:solidFill>
              <w14:schemeClr w14:val="tx1"/>
            </w14:solidFill>
          </w14:textFill>
        </w:rPr>
        <w:t>；</w:t>
      </w:r>
    </w:p>
    <w:p>
      <w:pPr>
        <w:spacing w:line="540"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（二）出让面积：267784.83平方米（约401亩）；</w:t>
      </w:r>
    </w:p>
    <w:p>
      <w:pPr>
        <w:spacing w:line="540"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（三）土地用途：工业用地；</w:t>
      </w:r>
    </w:p>
    <w:p>
      <w:pPr>
        <w:spacing w:line="540"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（四）使用年期：工业用地：50年；</w:t>
      </w:r>
    </w:p>
    <w:p>
      <w:pPr>
        <w:spacing w:line="540"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（五）建设时间：出让合同约定的动工开发期限内动工，二年内建设完成；</w:t>
      </w:r>
    </w:p>
    <w:p>
      <w:pPr>
        <w:spacing w:line="540"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（六）规划用地性质：工业用地；</w:t>
      </w:r>
    </w:p>
    <w:p>
      <w:pPr>
        <w:spacing w:line="540"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（七）容积率：</w:t>
      </w:r>
      <w:r>
        <w:rPr>
          <w:rFonts w:hint="eastAsia" w:ascii="仿宋" w:hAnsi="仿宋" w:eastAsia="仿宋"/>
          <w:color w:val="000000" w:themeColor="text1"/>
          <w:sz w:val="32"/>
          <w:szCs w:val="32"/>
          <w:lang w:eastAsia="zh-CN"/>
          <w14:textFill>
            <w14:solidFill>
              <w14:schemeClr w14:val="tx1"/>
            </w14:solidFill>
          </w14:textFill>
        </w:rPr>
        <w:t>≥0.7</w:t>
      </w:r>
      <w:r>
        <w:rPr>
          <w:rFonts w:hint="eastAsia" w:ascii="仿宋" w:hAnsi="仿宋" w:eastAsia="仿宋"/>
          <w:color w:val="000000" w:themeColor="text1"/>
          <w:sz w:val="32"/>
          <w:szCs w:val="32"/>
          <w:lang w:val="en-US" w:eastAsia="zh-CN"/>
          <w14:textFill>
            <w14:solidFill>
              <w14:schemeClr w14:val="tx1"/>
            </w14:solidFill>
          </w14:textFill>
        </w:rPr>
        <w:t>；</w:t>
      </w:r>
    </w:p>
    <w:p>
      <w:pPr>
        <w:spacing w:line="540"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（八）</w:t>
      </w:r>
      <w:r>
        <w:rPr>
          <w:rFonts w:hint="eastAsia" w:ascii="仿宋" w:hAnsi="仿宋" w:eastAsia="仿宋"/>
          <w:color w:val="000000" w:themeColor="text1"/>
          <w:sz w:val="32"/>
          <w:szCs w:val="32"/>
          <w14:textFill>
            <w14:solidFill>
              <w14:schemeClr w14:val="tx1"/>
            </w14:solidFill>
          </w14:textFill>
        </w:rPr>
        <w:t>建筑限高：</w:t>
      </w:r>
      <w:r>
        <w:rPr>
          <w:rFonts w:hint="eastAsia" w:ascii="仿宋" w:hAnsi="仿宋" w:eastAsia="仿宋"/>
          <w:color w:val="000000" w:themeColor="text1"/>
          <w:sz w:val="32"/>
          <w:szCs w:val="32"/>
          <w:lang w:val="en-US" w:eastAsia="zh-CN"/>
          <w14:textFill>
            <w14:solidFill>
              <w14:schemeClr w14:val="tx1"/>
            </w14:solidFill>
          </w14:textFill>
        </w:rPr>
        <w:t>≤30米</w:t>
      </w:r>
      <w:r>
        <w:rPr>
          <w:rFonts w:hint="eastAsia" w:ascii="仿宋" w:hAnsi="仿宋" w:eastAsia="仿宋"/>
          <w:color w:val="000000" w:themeColor="text1"/>
          <w:sz w:val="32"/>
          <w:szCs w:val="32"/>
          <w:lang w:eastAsia="zh-CN"/>
          <w14:textFill>
            <w14:solidFill>
              <w14:schemeClr w14:val="tx1"/>
            </w14:solidFill>
          </w14:textFill>
        </w:rPr>
        <w:t>；</w:t>
      </w:r>
    </w:p>
    <w:p>
      <w:pPr>
        <w:spacing w:line="540"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九</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绿地率：≤20%</w:t>
      </w:r>
      <w:r>
        <w:rPr>
          <w:rFonts w:hint="eastAsia" w:ascii="仿宋" w:hAnsi="仿宋" w:eastAsia="仿宋"/>
          <w:color w:val="000000" w:themeColor="text1"/>
          <w:sz w:val="32"/>
          <w:szCs w:val="32"/>
          <w14:textFill>
            <w14:solidFill>
              <w14:schemeClr w14:val="tx1"/>
            </w14:solidFill>
          </w14:textFill>
        </w:rPr>
        <w:t>；</w:t>
      </w:r>
    </w:p>
    <w:p>
      <w:pPr>
        <w:spacing w:line="540"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十</w:t>
      </w:r>
      <w:r>
        <w:rPr>
          <w:rFonts w:hint="eastAsia" w:ascii="仿宋" w:hAnsi="仿宋" w:eastAsia="仿宋"/>
          <w:color w:val="000000" w:themeColor="text1"/>
          <w:sz w:val="32"/>
          <w:szCs w:val="32"/>
          <w14:textFill>
            <w14:solidFill>
              <w14:schemeClr w14:val="tx1"/>
            </w14:solidFill>
          </w14:textFill>
        </w:rPr>
        <w:t>）建筑</w:t>
      </w:r>
      <w:r>
        <w:rPr>
          <w:rFonts w:hint="eastAsia" w:ascii="仿宋" w:hAnsi="仿宋" w:eastAsia="仿宋"/>
          <w:color w:val="000000" w:themeColor="text1"/>
          <w:sz w:val="32"/>
          <w:szCs w:val="32"/>
          <w:lang w:val="en-US" w:eastAsia="zh-CN"/>
          <w14:textFill>
            <w14:solidFill>
              <w14:schemeClr w14:val="tx1"/>
            </w14:solidFill>
          </w14:textFill>
        </w:rPr>
        <w:t>系数：</w:t>
      </w:r>
      <w:r>
        <w:rPr>
          <w:rFonts w:hint="eastAsia" w:ascii="仿宋" w:hAnsi="仿宋" w:eastAsia="仿宋"/>
          <w:color w:val="000000" w:themeColor="text1"/>
          <w:sz w:val="32"/>
          <w:szCs w:val="32"/>
          <w14:textFill>
            <w14:solidFill>
              <w14:schemeClr w14:val="tx1"/>
            </w14:solidFill>
          </w14:textFill>
        </w:rPr>
        <w:t>≥30%；</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（十一）</w:t>
      </w:r>
      <w:r>
        <w:rPr>
          <w:rFonts w:hint="eastAsia" w:ascii="仿宋" w:hAnsi="仿宋" w:eastAsia="仿宋" w:cs="仿宋"/>
          <w:color w:val="000000" w:themeColor="text1"/>
          <w:sz w:val="32"/>
          <w:szCs w:val="32"/>
          <w:highlight w:val="none"/>
          <w14:textFill>
            <w14:solidFill>
              <w14:schemeClr w14:val="tx1"/>
            </w14:solidFill>
          </w14:textFill>
        </w:rPr>
        <w:t>建筑退线要求：满足规划设计条件要求；</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（十二）</w:t>
      </w:r>
      <w:r>
        <w:rPr>
          <w:rFonts w:hint="eastAsia" w:ascii="仿宋" w:hAnsi="仿宋" w:eastAsia="仿宋" w:cs="仿宋"/>
          <w:color w:val="000000" w:themeColor="text1"/>
          <w:sz w:val="32"/>
          <w:szCs w:val="32"/>
          <w:highlight w:val="none"/>
          <w14:textFill>
            <w14:solidFill>
              <w14:schemeClr w14:val="tx1"/>
            </w14:solidFill>
          </w14:textFill>
        </w:rPr>
        <w:t>出让地块的空间范围须符合城市规划管理的有关要求；</w:t>
      </w:r>
    </w:p>
    <w:p>
      <w:pPr>
        <w:spacing w:line="538" w:lineRule="exact"/>
        <w:ind w:left="0"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（十三）</w:t>
      </w:r>
      <w:r>
        <w:rPr>
          <w:rFonts w:hint="eastAsia" w:ascii="仿宋" w:hAnsi="仿宋" w:eastAsia="仿宋" w:cs="仿宋"/>
          <w:color w:val="000000" w:themeColor="text1"/>
          <w:sz w:val="32"/>
          <w:szCs w:val="32"/>
          <w:highlight w:val="none"/>
          <w14:textFill>
            <w14:solidFill>
              <w14:schemeClr w14:val="tx1"/>
            </w14:solidFill>
          </w14:textFill>
        </w:rPr>
        <w:t>其他规划要求以规划条件书为准。</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w:t>
      </w:r>
      <w:r>
        <w:rPr>
          <w:rFonts w:hint="eastAsia" w:ascii="仿宋" w:hAnsi="仿宋" w:eastAsia="仿宋"/>
          <w:color w:val="000000" w:themeColor="text1"/>
          <w:sz w:val="32"/>
          <w:szCs w:val="32"/>
          <w:lang w:eastAsia="zh-CN"/>
          <w14:textFill>
            <w14:solidFill>
              <w14:schemeClr w14:val="tx1"/>
            </w14:solidFill>
          </w14:textFill>
        </w:rPr>
        <w:t>四</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该地块用</w:t>
      </w:r>
      <w:r>
        <w:rPr>
          <w:rFonts w:hint="eastAsia" w:ascii="仿宋" w:hAnsi="仿宋" w:eastAsia="仿宋" w:cs="仿宋"/>
          <w:color w:val="000000" w:themeColor="text1"/>
          <w:kern w:val="2"/>
          <w:sz w:val="32"/>
          <w:szCs w:val="32"/>
          <w:highlight w:val="none"/>
          <w:vertAlign w:val="baseline"/>
          <w:lang w:val="en-US" w:eastAsia="zh-CN" w:bidi="ar"/>
          <w14:textFill>
            <w14:solidFill>
              <w14:schemeClr w14:val="tx1"/>
            </w14:solidFill>
          </w14:textFill>
        </w:rPr>
        <w:t>地范围属于《乌海市海南区2023年度第十四批次建设用地》（内政土发[2023]1109号），现净地挂牌。</w:t>
      </w:r>
      <w:r>
        <w:rPr>
          <w:rFonts w:hint="eastAsia" w:ascii="仿宋" w:hAnsi="仿宋" w:eastAsia="仿宋" w:cs="仿宋"/>
          <w:color w:val="000000" w:themeColor="text1"/>
          <w:sz w:val="32"/>
          <w:szCs w:val="32"/>
          <w:highlight w:val="none"/>
          <w14:textFill>
            <w14:solidFill>
              <w14:schemeClr w14:val="tx1"/>
            </w14:solidFill>
          </w14:textFill>
        </w:rPr>
        <w:t>该出让地块范围内如有树木、供电、市政设施等，受让人可结合规划设计方案保留，对不需要保留的，由受让人自行与有关部门解决，并承担所需费用。如需要考古或地下有</w:t>
      </w:r>
      <w:r>
        <w:rPr>
          <w:rFonts w:hint="eastAsia" w:ascii="仿宋" w:hAnsi="仿宋" w:eastAsia="仿宋" w:cs="仿宋"/>
          <w:color w:val="000000" w:themeColor="text1"/>
          <w:sz w:val="32"/>
          <w:szCs w:val="32"/>
          <w:highlight w:val="none"/>
          <w:lang w:eastAsia="zh-CN"/>
          <w14:textFill>
            <w14:solidFill>
              <w14:schemeClr w14:val="tx1"/>
            </w14:solidFill>
          </w14:textFill>
        </w:rPr>
        <w:t>资源、</w:t>
      </w:r>
      <w:r>
        <w:rPr>
          <w:rFonts w:hint="eastAsia" w:ascii="仿宋" w:hAnsi="仿宋" w:eastAsia="仿宋" w:cs="仿宋"/>
          <w:color w:val="000000" w:themeColor="text1"/>
          <w:sz w:val="32"/>
          <w:szCs w:val="32"/>
          <w:highlight w:val="none"/>
          <w14:textFill>
            <w14:solidFill>
              <w14:schemeClr w14:val="tx1"/>
            </w14:solidFill>
          </w14:textFill>
        </w:rPr>
        <w:t>构筑物、其他设施等，由受让人自行与有关部门协商解决，并承担所需费用。</w:t>
      </w:r>
    </w:p>
    <w:p>
      <w:pPr>
        <w:spacing w:line="538" w:lineRule="exact"/>
        <w:ind w:left="0" w:firstLine="640" w:firstLineChars="200"/>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（十</w:t>
      </w:r>
      <w:r>
        <w:rPr>
          <w:rFonts w:hint="eastAsia" w:ascii="仿宋" w:hAnsi="仿宋" w:eastAsia="仿宋"/>
          <w:color w:val="000000" w:themeColor="text1"/>
          <w:sz w:val="32"/>
          <w:szCs w:val="32"/>
          <w:lang w:eastAsia="zh-CN"/>
          <w14:textFill>
            <w14:solidFill>
              <w14:schemeClr w14:val="tx1"/>
            </w14:solidFill>
          </w14:textFill>
        </w:rPr>
        <w:t>五</w:t>
      </w:r>
      <w:r>
        <w:rPr>
          <w:rFonts w:hint="eastAsia" w:ascii="仿宋" w:hAnsi="仿宋" w:eastAsia="仿宋"/>
          <w:color w:val="000000" w:themeColor="text1"/>
          <w:sz w:val="32"/>
          <w:szCs w:val="32"/>
          <w14:textFill>
            <w14:solidFill>
              <w14:schemeClr w14:val="tx1"/>
            </w14:solidFill>
          </w14:textFill>
        </w:rPr>
        <w:t>）其他要求：出让地块的空间范围须符合城市规划管理的有关</w:t>
      </w:r>
      <w:r>
        <w:rPr>
          <w:rFonts w:hint="eastAsia" w:ascii="仿宋" w:hAnsi="仿宋" w:eastAsia="仿宋" w:cs="仿宋"/>
          <w:color w:val="000000" w:themeColor="text1"/>
          <w:sz w:val="32"/>
          <w:szCs w:val="32"/>
          <w:highlight w:val="none"/>
          <w14:textFill>
            <w14:solidFill>
              <w14:schemeClr w14:val="tx1"/>
            </w14:solidFill>
          </w14:textFill>
        </w:rPr>
        <w:t>要求，必须严格按照《内蒙古自治区建设用地规划条件书》（条字第：</w:t>
      </w:r>
      <w:r>
        <w:rPr>
          <w:rFonts w:ascii="Times New Roman" w:hAnsi="Times New Roman" w:eastAsia="仿宋_GB2312"/>
          <w:b w:val="0"/>
          <w:bCs w:val="0"/>
          <w:sz w:val="32"/>
          <w:szCs w:val="20"/>
        </w:rPr>
        <w:t>15030</w:t>
      </w:r>
      <w:r>
        <w:rPr>
          <w:rFonts w:hint="eastAsia" w:ascii="Times New Roman" w:hAnsi="Times New Roman" w:eastAsia="仿宋_GB2312"/>
          <w:b w:val="0"/>
          <w:bCs w:val="0"/>
          <w:sz w:val="32"/>
          <w:szCs w:val="20"/>
        </w:rPr>
        <w:t>3</w:t>
      </w:r>
      <w:r>
        <w:rPr>
          <w:rFonts w:ascii="Times New Roman" w:hAnsi="Times New Roman" w:eastAsia="仿宋_GB2312"/>
          <w:b w:val="0"/>
          <w:bCs w:val="0"/>
          <w:sz w:val="32"/>
          <w:szCs w:val="20"/>
        </w:rPr>
        <w:t>20</w:t>
      </w:r>
      <w:r>
        <w:rPr>
          <w:rFonts w:hint="eastAsia" w:ascii="Times New Roman" w:hAnsi="Times New Roman" w:eastAsia="仿宋_GB2312"/>
          <w:b w:val="0"/>
          <w:bCs w:val="0"/>
          <w:sz w:val="32"/>
          <w:szCs w:val="20"/>
        </w:rPr>
        <w:t>2</w:t>
      </w:r>
      <w:r>
        <w:rPr>
          <w:rFonts w:hint="eastAsia" w:ascii="Times New Roman" w:hAnsi="Times New Roman" w:eastAsia="仿宋_GB2312"/>
          <w:b w:val="0"/>
          <w:bCs w:val="0"/>
          <w:sz w:val="32"/>
          <w:szCs w:val="20"/>
          <w:lang w:val="en-US" w:eastAsia="zh-CN"/>
        </w:rPr>
        <w:t>3</w:t>
      </w:r>
      <w:r>
        <w:rPr>
          <w:rFonts w:ascii="Times New Roman" w:hAnsi="Times New Roman" w:eastAsia="仿宋_GB2312"/>
          <w:b w:val="0"/>
          <w:bCs w:val="0"/>
          <w:sz w:val="32"/>
          <w:szCs w:val="20"/>
        </w:rPr>
        <w:t>00</w:t>
      </w:r>
      <w:r>
        <w:rPr>
          <w:rFonts w:hint="eastAsia" w:eastAsia="仿宋_GB2312"/>
          <w:b w:val="0"/>
          <w:bCs w:val="0"/>
          <w:sz w:val="32"/>
          <w:szCs w:val="20"/>
          <w:lang w:val="en-US" w:eastAsia="zh-CN"/>
        </w:rPr>
        <w:t>10</w:t>
      </w:r>
      <w:r>
        <w:rPr>
          <w:rFonts w:hint="eastAsia" w:ascii="Times New Roman" w:hAnsi="Times New Roman" w:eastAsia="仿宋_GB2312"/>
          <w:b w:val="0"/>
          <w:bCs w:val="0"/>
          <w:sz w:val="32"/>
          <w:szCs w:val="20"/>
        </w:rPr>
        <w:t>X</w:t>
      </w:r>
      <w:r>
        <w:rPr>
          <w:rFonts w:hint="eastAsia" w:ascii="仿宋" w:hAnsi="仿宋" w:eastAsia="仿宋" w:cs="仿宋"/>
          <w:color w:val="000000" w:themeColor="text1"/>
          <w:sz w:val="32"/>
          <w:szCs w:val="32"/>
          <w:highlight w:val="none"/>
          <w14:textFill>
            <w14:solidFill>
              <w14:schemeClr w14:val="tx1"/>
            </w14:solidFill>
          </w14:textFill>
        </w:rPr>
        <w:t>号）的有关要求进行建设。</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四、竞买资格及要求</w:t>
      </w:r>
    </w:p>
    <w:p>
      <w:pPr>
        <w:spacing w:line="540" w:lineRule="exact"/>
        <w:ind w:left="0" w:firstLine="640" w:firstLineChars="200"/>
        <w:rPr>
          <w:rFonts w:ascii="仿宋" w:hAnsi="仿宋" w:eastAsia="仿宋"/>
          <w:color w:val="auto"/>
          <w:sz w:val="32"/>
          <w:szCs w:val="32"/>
        </w:rPr>
      </w:pPr>
      <w:r>
        <w:rPr>
          <w:rFonts w:hint="eastAsia" w:ascii="仿宋" w:hAnsi="仿宋" w:eastAsia="仿宋"/>
          <w:color w:val="000000" w:themeColor="text1"/>
          <w:sz w:val="32"/>
          <w:szCs w:val="32"/>
          <w14:textFill>
            <w14:solidFill>
              <w14:schemeClr w14:val="tx1"/>
            </w14:solidFill>
          </w14:textFill>
        </w:rPr>
        <w:t>中华人民共和国境内外的法人、自然人和其他组织，除法律法规对申请人另有限制外，均可申请参加。本次挂牌不接受联合申请。工业项目用地，竞得人在项目审批时，除满足《工业项目建设用地控制指标》的要求外，还必须遵守城市规划、环境保护等法律法规，并符合国家的产业政策。房地产开发用地，申请竞买者须提交保证金不属于银行贷款、股东借款、转贷和募集资金的承诺书及商业金融机构的资信证明。</w:t>
      </w:r>
    </w:p>
    <w:p>
      <w:pPr>
        <w:spacing w:line="540" w:lineRule="exact"/>
        <w:ind w:left="0" w:firstLine="640" w:firstLineChars="200"/>
        <w:rPr>
          <w:rFonts w:ascii="仿宋" w:hAnsi="仿宋" w:eastAsia="仿宋"/>
          <w:color w:val="auto"/>
          <w:sz w:val="32"/>
          <w:szCs w:val="32"/>
          <w:highlight w:val="yellow"/>
        </w:rPr>
      </w:pPr>
      <w:r>
        <w:rPr>
          <w:rFonts w:hint="eastAsia" w:ascii="仿宋" w:hAnsi="仿宋" w:eastAsia="仿宋"/>
          <w:color w:val="auto"/>
          <w:sz w:val="32"/>
          <w:szCs w:val="32"/>
        </w:rPr>
        <w:t>交纳竞买保证金的截止时间为</w:t>
      </w: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10</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13</w:t>
      </w:r>
      <w:r>
        <w:rPr>
          <w:rFonts w:hint="eastAsia" w:ascii="仿宋" w:hAnsi="仿宋" w:eastAsia="仿宋"/>
          <w:color w:val="auto"/>
          <w:sz w:val="32"/>
          <w:szCs w:val="32"/>
          <w:highlight w:val="none"/>
        </w:rPr>
        <w:t>日16：00时。</w:t>
      </w:r>
    </w:p>
    <w:p>
      <w:pPr>
        <w:spacing w:line="540"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地块竞买保证金为：</w:t>
      </w:r>
    </w:p>
    <w:p>
      <w:pPr>
        <w:spacing w:line="540" w:lineRule="exact"/>
        <w:ind w:left="0" w:firstLine="643" w:firstLineChars="200"/>
        <w:rPr>
          <w:rFonts w:hint="eastAsia" w:ascii="仿宋" w:hAnsi="仿宋" w:eastAsia="仿宋" w:cs="仿宋"/>
          <w:kern w:val="2"/>
          <w:sz w:val="32"/>
          <w:szCs w:val="32"/>
          <w:highlight w:val="none"/>
          <w:vertAlign w:val="baseline"/>
          <w:lang w:val="en-US" w:eastAsia="zh-CN" w:bidi="ar"/>
        </w:rPr>
      </w:pPr>
      <w:r>
        <w:rPr>
          <w:rFonts w:hint="eastAsia" w:ascii="仿宋" w:hAnsi="仿宋" w:eastAsia="仿宋" w:cs="仿宋"/>
          <w:b/>
          <w:bCs/>
          <w:kern w:val="2"/>
          <w:sz w:val="32"/>
          <w:szCs w:val="32"/>
          <w:highlight w:val="none"/>
          <w:vertAlign w:val="baseline"/>
          <w:lang w:val="en-US" w:eastAsia="zh-CN" w:bidi="ar"/>
        </w:rPr>
        <w:t>一号地块：</w:t>
      </w:r>
      <w:r>
        <w:rPr>
          <w:rFonts w:hint="eastAsia" w:ascii="仿宋" w:hAnsi="仿宋" w:eastAsia="仿宋"/>
          <w:color w:val="000000" w:themeColor="text1"/>
          <w:sz w:val="32"/>
          <w:szCs w:val="32"/>
          <w:lang w:val="en-US" w:eastAsia="zh-CN"/>
          <w14:textFill>
            <w14:solidFill>
              <w14:schemeClr w14:val="tx1"/>
            </w14:solidFill>
          </w14:textFill>
        </w:rPr>
        <w:t>1571.2821</w:t>
      </w:r>
      <w:r>
        <w:rPr>
          <w:rFonts w:hint="eastAsia" w:ascii="仿宋" w:hAnsi="仿宋" w:eastAsia="仿宋" w:cs="仿宋"/>
          <w:kern w:val="2"/>
          <w:sz w:val="32"/>
          <w:szCs w:val="32"/>
          <w:highlight w:val="none"/>
          <w:vertAlign w:val="baseline"/>
          <w:lang w:val="en-US" w:eastAsia="zh-CN" w:bidi="ar"/>
        </w:rPr>
        <w:t>万元（壹仟伍佰柒拾壹万贰仟捌佰贰拾壹元整）。</w:t>
      </w:r>
    </w:p>
    <w:p>
      <w:pPr>
        <w:spacing w:line="540"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宗地的挂牌起始价</w:t>
      </w:r>
      <w:r>
        <w:rPr>
          <w:rFonts w:hint="eastAsia" w:ascii="仿宋" w:hAnsi="仿宋" w:eastAsia="仿宋"/>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560" w:lineRule="exact"/>
        <w:ind w:left="0" w:leftChars="0" w:firstLine="640" w:firstLineChars="200"/>
        <w:textAlignment w:val="baseline"/>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1571.2821</w:t>
      </w:r>
      <w:r>
        <w:rPr>
          <w:rFonts w:hint="eastAsia" w:ascii="仿宋" w:hAnsi="仿宋" w:eastAsia="仿宋" w:cs="仿宋"/>
          <w:kern w:val="2"/>
          <w:sz w:val="32"/>
          <w:szCs w:val="32"/>
          <w:highlight w:val="none"/>
          <w:vertAlign w:val="baseline"/>
          <w:lang w:val="en-US" w:eastAsia="zh-CN" w:bidi="ar"/>
        </w:rPr>
        <w:t>万元（壹仟伍佰柒拾壹万贰仟捌佰贰拾壹元整）</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增价幅度为每竞价一次增加人民币50万元（伍拾万元）；</w:t>
      </w:r>
    </w:p>
    <w:p>
      <w:pPr>
        <w:keepNext w:val="0"/>
        <w:keepLines w:val="0"/>
        <w:pageBreakBefore w:val="0"/>
        <w:kinsoku/>
        <w:wordWrap/>
        <w:overflowPunct/>
        <w:topLinePunct w:val="0"/>
        <w:autoSpaceDE/>
        <w:autoSpaceDN/>
        <w:bidi w:val="0"/>
        <w:spacing w:line="560" w:lineRule="exact"/>
        <w:ind w:left="0" w:leftChars="0" w:firstLine="643" w:firstLineChars="200"/>
        <w:textAlignment w:val="baseline"/>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s="仿宋"/>
          <w:b/>
          <w:bCs/>
          <w:kern w:val="2"/>
          <w:sz w:val="32"/>
          <w:szCs w:val="32"/>
          <w:highlight w:val="none"/>
          <w:vertAlign w:val="baseline"/>
          <w:lang w:val="en-US" w:eastAsia="zh-CN" w:bidi="ar"/>
        </w:rPr>
        <w:t>二号地块：</w:t>
      </w:r>
      <w:r>
        <w:rPr>
          <w:rFonts w:hint="eastAsia" w:ascii="仿宋" w:hAnsi="仿宋" w:eastAsia="仿宋"/>
          <w:color w:val="000000" w:themeColor="text1"/>
          <w:sz w:val="32"/>
          <w:szCs w:val="32"/>
          <w:lang w:val="en-US" w:eastAsia="zh-CN"/>
          <w14:textFill>
            <w14:solidFill>
              <w14:schemeClr w14:val="tx1"/>
            </w14:solidFill>
          </w14:textFill>
        </w:rPr>
        <w:t>1115.1650万元（壹仟壹佰壹拾伍万壹仟陆佰伍拾元整）。</w:t>
      </w:r>
    </w:p>
    <w:p>
      <w:pPr>
        <w:spacing w:line="540"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宗地的挂牌起始价</w:t>
      </w:r>
      <w:r>
        <w:rPr>
          <w:rFonts w:hint="eastAsia" w:ascii="仿宋" w:hAnsi="仿宋" w:eastAsia="仿宋"/>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560" w:lineRule="exact"/>
        <w:ind w:left="0" w:leftChars="0" w:firstLine="640" w:firstLineChars="200"/>
        <w:textAlignment w:val="baseline"/>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1115.1650万元（壹仟壹佰壹拾伍万壹仟陆佰伍拾元整）</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增价幅度为每竞价一次增加人民币50万元（伍拾万元）；</w:t>
      </w:r>
    </w:p>
    <w:p>
      <w:pPr>
        <w:keepNext w:val="0"/>
        <w:keepLines w:val="0"/>
        <w:pageBreakBefore w:val="0"/>
        <w:kinsoku/>
        <w:wordWrap/>
        <w:overflowPunct/>
        <w:topLinePunct w:val="0"/>
        <w:autoSpaceDE/>
        <w:autoSpaceDN/>
        <w:bidi w:val="0"/>
        <w:spacing w:line="560" w:lineRule="exact"/>
        <w:ind w:left="0" w:leftChars="0" w:firstLine="643" w:firstLineChars="200"/>
        <w:textAlignment w:val="baseline"/>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s="仿宋"/>
          <w:b/>
          <w:bCs/>
          <w:kern w:val="2"/>
          <w:sz w:val="32"/>
          <w:szCs w:val="32"/>
          <w:highlight w:val="none"/>
          <w:vertAlign w:val="baseline"/>
          <w:lang w:val="en-US" w:eastAsia="zh-CN" w:bidi="ar"/>
        </w:rPr>
        <w:t>三号地块</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431.1020万元（肆佰叁拾壹万壹仟零贰拾元整）。</w:t>
      </w:r>
    </w:p>
    <w:p>
      <w:pPr>
        <w:spacing w:line="540"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宗地的挂牌起始价</w:t>
      </w:r>
      <w:r>
        <w:rPr>
          <w:rFonts w:hint="eastAsia" w:ascii="仿宋" w:hAnsi="仿宋" w:eastAsia="仿宋"/>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560" w:lineRule="exact"/>
        <w:ind w:left="0" w:leftChars="0" w:firstLine="640" w:firstLineChars="200"/>
        <w:textAlignment w:val="baseline"/>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431.1020万元（肆佰叁拾壹万壹仟零贰拾元整）</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增价幅度为每竞价一次增加人民币10万元（拾万元）；</w:t>
      </w:r>
    </w:p>
    <w:p>
      <w:pPr>
        <w:keepNext w:val="0"/>
        <w:keepLines w:val="0"/>
        <w:pageBreakBefore w:val="0"/>
        <w:kinsoku/>
        <w:wordWrap/>
        <w:overflowPunct/>
        <w:topLinePunct w:val="0"/>
        <w:autoSpaceDE/>
        <w:autoSpaceDN/>
        <w:bidi w:val="0"/>
        <w:spacing w:line="560" w:lineRule="exact"/>
        <w:ind w:left="0" w:leftChars="0" w:firstLine="643" w:firstLineChars="200"/>
        <w:textAlignment w:val="baseline"/>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s="仿宋"/>
          <w:b/>
          <w:bCs/>
          <w:kern w:val="2"/>
          <w:sz w:val="32"/>
          <w:szCs w:val="32"/>
          <w:highlight w:val="none"/>
          <w:vertAlign w:val="baseline"/>
          <w:lang w:val="en-US" w:eastAsia="zh-CN" w:bidi="ar"/>
        </w:rPr>
        <w:t>四号地块：</w:t>
      </w:r>
      <w:r>
        <w:rPr>
          <w:rFonts w:hint="eastAsia" w:ascii="仿宋" w:hAnsi="仿宋" w:eastAsia="仿宋"/>
          <w:color w:val="000000" w:themeColor="text1"/>
          <w:sz w:val="32"/>
          <w:szCs w:val="32"/>
          <w:lang w:val="en-US" w:eastAsia="zh-CN"/>
          <w14:textFill>
            <w14:solidFill>
              <w14:schemeClr w14:val="tx1"/>
            </w14:solidFill>
          </w14:textFill>
        </w:rPr>
        <w:t>2517.1774万元（贰仟伍佰壹拾柒万壹仟柒佰柒拾肆元整）。</w:t>
      </w:r>
    </w:p>
    <w:p>
      <w:pPr>
        <w:keepNext w:val="0"/>
        <w:keepLines w:val="0"/>
        <w:pageBreakBefore w:val="0"/>
        <w:kinsoku/>
        <w:wordWrap/>
        <w:overflowPunct/>
        <w:topLinePunct w:val="0"/>
        <w:autoSpaceDE/>
        <w:autoSpaceDN/>
        <w:bidi w:val="0"/>
        <w:spacing w:line="560" w:lineRule="exact"/>
        <w:ind w:left="0" w:leftChars="0" w:firstLine="640" w:firstLineChars="200"/>
        <w:textAlignment w:val="baseline"/>
        <w:rPr>
          <w:rFonts w:hint="default"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2517.1774万元（贰仟伍佰壹拾柒万壹仟柒佰柒拾肆元整）</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增价幅度为每竞价一次增加人民币50万元（伍拾万元）。</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五、网上竞买申请流程</w:t>
      </w:r>
      <w:r>
        <w:rPr>
          <w:rFonts w:hint="eastAsia" w:ascii="仿宋" w:hAnsi="仿宋" w:eastAsia="仿宋"/>
          <w:color w:val="000000" w:themeColor="text1"/>
          <w:sz w:val="32"/>
          <w:szCs w:val="32"/>
          <w14:textFill>
            <w14:solidFill>
              <w14:schemeClr w14:val="tx1"/>
            </w14:solidFill>
          </w14:textFill>
        </w:rPr>
        <w:tab/>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（一）</w:t>
      </w:r>
      <w:r>
        <w:rPr>
          <w:rFonts w:hint="eastAsia" w:ascii="仿宋" w:hAnsi="仿宋" w:eastAsia="仿宋" w:cs="FangSong_GB2312"/>
          <w:bCs/>
          <w:color w:val="000000" w:themeColor="text1"/>
          <w:sz w:val="32"/>
          <w:szCs w:val="32"/>
          <w14:textFill>
            <w14:solidFill>
              <w14:schemeClr w14:val="tx1"/>
            </w14:solidFill>
          </w14:textFill>
        </w:rPr>
        <w:t>CA数字证书的获取及绑定</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bCs/>
          <w:color w:val="000000" w:themeColor="text1"/>
          <w:sz w:val="32"/>
          <w:szCs w:val="32"/>
          <w14:textFill>
            <w14:solidFill>
              <w14:schemeClr w14:val="tx1"/>
            </w14:solidFill>
          </w14:textFill>
        </w:rPr>
        <w:t>1、获取方式</w:t>
      </w:r>
    </w:p>
    <w:p>
      <w:pPr>
        <w:tabs>
          <w:tab w:val="left" w:pos="4380"/>
        </w:tabs>
        <w:spacing w:line="540" w:lineRule="exact"/>
        <w:ind w:left="0" w:firstLine="640" w:firstLineChars="200"/>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竞买人在报名期内登录“内蒙古自治区国土资源网上交易系统”使用CA证书获取预申购资源的竞买申请书。CA证书的办理流程详见乌海市公共资源交易中心网站办事指南中CA办理指南。</w:t>
      </w:r>
    </w:p>
    <w:p>
      <w:pPr>
        <w:tabs>
          <w:tab w:val="left" w:pos="4380"/>
        </w:tabs>
        <w:spacing w:line="540" w:lineRule="exact"/>
        <w:ind w:left="0" w:firstLine="640" w:firstLineChars="200"/>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2、CA数字证书驱动下载及系统绑定</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（1）在计算机上插入</w:t>
      </w:r>
      <w:r>
        <w:rPr>
          <w:rStyle w:val="17"/>
          <w:rFonts w:hint="eastAsia" w:ascii="仿宋" w:hAnsi="仿宋" w:eastAsia="仿宋"/>
          <w:b w:val="0"/>
          <w:color w:val="000000" w:themeColor="text1"/>
          <w:sz w:val="32"/>
          <w:szCs w:val="32"/>
          <w14:textFill>
            <w14:solidFill>
              <w14:schemeClr w14:val="tx1"/>
            </w14:solidFill>
          </w14:textFill>
        </w:rPr>
        <w:t>CA数字证书</w:t>
      </w:r>
      <w:r>
        <w:rPr>
          <w:rFonts w:hint="eastAsia" w:ascii="仿宋" w:hAnsi="仿宋" w:eastAsia="仿宋"/>
          <w:color w:val="000000" w:themeColor="text1"/>
          <w:sz w:val="32"/>
          <w:szCs w:val="32"/>
          <w14:textFill>
            <w14:solidFill>
              <w14:schemeClr w14:val="tx1"/>
            </w14:solidFill>
          </w14:textFill>
        </w:rPr>
        <w:t>，打开IE浏览器输入网址：http://110.16.70.81:8090/trade-engine/trade/index进入内蒙古自治区国土资源交易系统首页（IE浏览器版本不得低于IE10）；</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（2）点击“服务中心”，进入资料下载列表，在此可下载</w:t>
      </w:r>
      <w:r>
        <w:rPr>
          <w:rStyle w:val="17"/>
          <w:rFonts w:hint="eastAsia" w:ascii="仿宋" w:hAnsi="仿宋" w:eastAsia="仿宋"/>
          <w:b w:val="0"/>
          <w:color w:val="000000" w:themeColor="text1"/>
          <w:sz w:val="32"/>
          <w:szCs w:val="32"/>
          <w14:textFill>
            <w14:solidFill>
              <w14:schemeClr w14:val="tx1"/>
            </w14:solidFill>
          </w14:textFill>
        </w:rPr>
        <w:t>CA数字证书驱动</w:t>
      </w:r>
      <w:r>
        <w:rPr>
          <w:rFonts w:hint="eastAsia" w:ascii="仿宋" w:hAnsi="仿宋" w:eastAsia="仿宋"/>
          <w:color w:val="000000" w:themeColor="text1"/>
          <w:sz w:val="32"/>
          <w:szCs w:val="32"/>
          <w14:textFill>
            <w14:solidFill>
              <w14:schemeClr w14:val="tx1"/>
            </w14:solidFill>
          </w14:textFill>
        </w:rPr>
        <w:t>；</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（3）驱动安装完成后在“网上交易系统”左上方点击“请登录”按钮进入到系统登录页面，点击“互认平台认证登陆”，页面自动跳转至</w:t>
      </w:r>
      <w:r>
        <w:rPr>
          <w:rStyle w:val="17"/>
          <w:rFonts w:hint="eastAsia" w:ascii="仿宋" w:hAnsi="仿宋" w:eastAsia="仿宋"/>
          <w:b w:val="0"/>
          <w:color w:val="000000" w:themeColor="text1"/>
          <w:sz w:val="32"/>
          <w:szCs w:val="32"/>
          <w14:textFill>
            <w14:solidFill>
              <w14:schemeClr w14:val="tx1"/>
            </w14:solidFill>
          </w14:textFill>
        </w:rPr>
        <w:t>内蒙古自治区统一认证平台</w:t>
      </w:r>
      <w:r>
        <w:rPr>
          <w:rFonts w:hint="eastAsia" w:ascii="仿宋" w:hAnsi="仿宋" w:eastAsia="仿宋"/>
          <w:color w:val="000000" w:themeColor="text1"/>
          <w:sz w:val="32"/>
          <w:szCs w:val="32"/>
          <w14:textFill>
            <w14:solidFill>
              <w14:schemeClr w14:val="tx1"/>
            </w14:solidFill>
          </w14:textFill>
        </w:rPr>
        <w:t>，需先点击“互认平台认证登录”输入密码进行CA认证，最后点击“进入授权”按钮，登录成功。</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（二）本次土地挂牌出让采用网上竞买申请的方式，竞买人在报名期内插入CA数字证书使用IE浏览器（IE浏览器版本不得低于IE10）登录</w:t>
      </w:r>
      <w:r>
        <w:rPr>
          <w:rFonts w:hint="eastAsia" w:ascii="仿宋" w:hAnsi="仿宋" w:eastAsia="仿宋" w:cs="FangSong_GB2312"/>
          <w:color w:val="000000" w:themeColor="text1"/>
          <w:sz w:val="32"/>
          <w:szCs w:val="32"/>
          <w14:textFill>
            <w14:solidFill>
              <w14:schemeClr w14:val="tx1"/>
            </w14:solidFill>
          </w14:textFill>
        </w:rPr>
        <w:t>内蒙古自治区国土资源交易系统（http://110.16.70.81:8090/trade-engine/trade/index）</w:t>
      </w:r>
      <w:r>
        <w:rPr>
          <w:rFonts w:hint="eastAsia" w:ascii="仿宋" w:hAnsi="仿宋" w:eastAsia="仿宋"/>
          <w:color w:val="000000" w:themeColor="text1"/>
          <w:sz w:val="32"/>
          <w:szCs w:val="32"/>
          <w14:textFill>
            <w14:solidFill>
              <w14:schemeClr w14:val="tx1"/>
            </w14:solidFill>
          </w14:textFill>
        </w:rPr>
        <w:t>点击预申购的资源。</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（三）竞买申请书填写</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填写《竞买申请书》，填写完成后点击“下载签章文件”按钮，将签章文件保存至计算机。</w:t>
      </w:r>
    </w:p>
    <w:p>
      <w:pPr>
        <w:tabs>
          <w:tab w:val="left" w:pos="4380"/>
        </w:tabs>
        <w:spacing w:line="540" w:lineRule="exact"/>
        <w:ind w:left="0" w:firstLine="640" w:firstLineChars="200"/>
        <w:rPr>
          <w:rFonts w:ascii="仿宋" w:hAnsi="仿宋" w:eastAsia="仿宋" w:cs="FangSong_GB2312"/>
          <w:bCs/>
          <w:color w:val="000000" w:themeColor="text1"/>
          <w:sz w:val="32"/>
          <w:szCs w:val="32"/>
          <w14:textFill>
            <w14:solidFill>
              <w14:schemeClr w14:val="tx1"/>
            </w14:solidFill>
          </w14:textFill>
        </w:rPr>
      </w:pPr>
      <w:r>
        <w:rPr>
          <w:rFonts w:hint="eastAsia" w:ascii="仿宋" w:hAnsi="仿宋" w:eastAsia="仿宋" w:cs="FangSong_GB2312"/>
          <w:bCs/>
          <w:color w:val="000000" w:themeColor="text1"/>
          <w:sz w:val="32"/>
          <w:szCs w:val="32"/>
          <w14:textFill>
            <w14:solidFill>
              <w14:schemeClr w14:val="tx1"/>
            </w14:solidFill>
          </w14:textFill>
        </w:rPr>
        <w:t>1、在线签章</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填写完竞买申请书,点击“进行电子签章”按钮，进入电子签章的页面，点击页面上方的“文件下载”按钮，在控件中点击“打开”按钮打开下载的文件，点击控件中的“签章”按钮，输入CA数字证书密码,将章放置指定位置点击鼠标左键，签章完成会自动覆盖下载的文件；之后点击“文件保存”按钮,在弹出的窗口中选定签章后的文件,保存成功后将页面拉至底部,点击下一步。</w:t>
      </w:r>
    </w:p>
    <w:p>
      <w:pPr>
        <w:tabs>
          <w:tab w:val="left" w:pos="4380"/>
        </w:tabs>
        <w:spacing w:line="540" w:lineRule="exact"/>
        <w:ind w:left="0" w:firstLine="640" w:firstLineChars="200"/>
        <w:rPr>
          <w:rFonts w:ascii="仿宋" w:hAnsi="仿宋" w:eastAsia="仿宋" w:cs="FangSong_GB2312"/>
          <w:bCs/>
          <w:color w:val="000000" w:themeColor="text1"/>
          <w:sz w:val="32"/>
          <w:szCs w:val="32"/>
          <w14:textFill>
            <w14:solidFill>
              <w14:schemeClr w14:val="tx1"/>
            </w14:solidFill>
          </w14:textFill>
        </w:rPr>
      </w:pPr>
      <w:r>
        <w:rPr>
          <w:rFonts w:hint="eastAsia" w:ascii="仿宋" w:hAnsi="仿宋" w:eastAsia="仿宋" w:cs="FangSong_GB2312"/>
          <w:bCs/>
          <w:color w:val="000000" w:themeColor="text1"/>
          <w:sz w:val="32"/>
          <w:szCs w:val="32"/>
          <w14:textFill>
            <w14:solidFill>
              <w14:schemeClr w14:val="tx1"/>
            </w14:solidFill>
          </w14:textFill>
        </w:rPr>
        <w:t>2、保证金缴纳</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竞买人提交签章文件后，点击“选择银行”按钮选择银行，系统自动生成保证金交纳通知书，竞买人按照通知书中指定的保证金子账号将履约保证金足额交纳。交纳完成后回到交易系统内查看到账情况，获取竞买资格确认书，完成竞买申请。</w:t>
      </w:r>
    </w:p>
    <w:p>
      <w:pPr>
        <w:tabs>
          <w:tab w:val="left" w:pos="4380"/>
        </w:tabs>
        <w:spacing w:line="540" w:lineRule="exact"/>
        <w:ind w:left="0" w:firstLine="640" w:firstLineChars="200"/>
        <w:rPr>
          <w:rFonts w:ascii="仿宋" w:hAnsi="仿宋" w:eastAsia="仿宋"/>
          <w:bCs/>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注：如对系统操作存在疑问，可点击交易系统“服务中心”栏目下的“资料下载”功能下载用户操作手册。</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六、网上挂牌报价</w:t>
      </w:r>
    </w:p>
    <w:p>
      <w:pPr>
        <w:tabs>
          <w:tab w:val="left" w:pos="4380"/>
        </w:tabs>
        <w:spacing w:line="540" w:lineRule="exact"/>
        <w:ind w:left="0" w:firstLine="640" w:firstLineChars="200"/>
        <w:rPr>
          <w:rFonts w:ascii="仿宋" w:hAnsi="仿宋" w:eastAsia="仿宋"/>
          <w:color w:val="FF0000"/>
          <w:sz w:val="32"/>
          <w:szCs w:val="32"/>
        </w:rPr>
      </w:pPr>
      <w:r>
        <w:rPr>
          <w:rFonts w:hint="eastAsia" w:ascii="仿宋" w:hAnsi="仿宋" w:eastAsia="仿宋"/>
          <w:color w:val="000000" w:themeColor="text1"/>
          <w:sz w:val="32"/>
          <w:szCs w:val="32"/>
          <w14:textFill>
            <w14:solidFill>
              <w14:schemeClr w14:val="tx1"/>
            </w14:solidFill>
          </w14:textFill>
        </w:rPr>
        <w:t>（一）挂牌报价：资源进入挂牌期，竞买人插入CA数字证书登录“网上交易系统”，选择资源点击“竞买报价”按钮进入挂牌出价页面，按要求选择增加幅度的倍数，点击右下角“确认出价”按钮即可完成报价。</w:t>
      </w:r>
      <w:r>
        <w:rPr>
          <w:rFonts w:hint="eastAsia" w:ascii="仿宋" w:hAnsi="仿宋" w:eastAsia="仿宋"/>
          <w:color w:val="FF0000"/>
          <w:sz w:val="32"/>
          <w:szCs w:val="32"/>
          <w:shd w:val="clear" w:color="auto" w:fill="FFFFFF"/>
          <w:lang w:eastAsia="zh-CN"/>
        </w:rPr>
        <w:t>（</w:t>
      </w:r>
      <w:r>
        <w:rPr>
          <w:rFonts w:hint="eastAsia" w:ascii="仿宋" w:hAnsi="仿宋" w:eastAsia="仿宋"/>
          <w:color w:val="FF0000"/>
          <w:sz w:val="32"/>
          <w:szCs w:val="32"/>
          <w:shd w:val="clear" w:color="auto" w:fill="FFFFFF"/>
          <w:lang w:val="en-US" w:eastAsia="zh-CN"/>
        </w:rPr>
        <w:t>提示：竞买人报价后可以刷新页面确定报价是否成功，请不要连续点击报价按钮，避免重复报价）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挂牌期内竞买人可以多次出价，每次报价必须按增价幅度的倍数报价且高于当前最高有效报价。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（二）挂牌期确定预竞得人：挂牌期内只有一个竞买人报价且高于底价确定为预竞得人，报价低于底价不成交。资源挂牌期截止后，有两个以上的竞买人参与挂牌报价，系统进入限时竞价。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特别提示：</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竞买人须在资源挂牌期间进行一次网上有效报价，才有资格参加之后的限时竞价环节，否则视为自动放弃竞买权。</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七、限时竞价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（一）询问期：资源挂牌期截止后，有两个以上的竞买人参与挂牌报价，系统自动进入</w:t>
      </w:r>
      <w:r>
        <w:rPr>
          <w:rStyle w:val="17"/>
          <w:rFonts w:hint="eastAsia" w:ascii="仿宋" w:hAnsi="仿宋" w:eastAsia="仿宋"/>
          <w:b w:val="0"/>
          <w:color w:val="000000" w:themeColor="text1"/>
          <w:sz w:val="32"/>
          <w:szCs w:val="32"/>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分钟询问期，询问期结束后，进入限时竞价环节；</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（二）限时竞价：进入限时竞价环节的竞买人需在系统设定的倒计时时间内进行报价，报价应是增价幅度的倍数，系统以</w:t>
      </w:r>
      <w:r>
        <w:rPr>
          <w:rStyle w:val="17"/>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分钟倒计时为竞价时限，如在</w:t>
      </w:r>
      <w:r>
        <w:rPr>
          <w:rStyle w:val="17"/>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分钟倒计时内有新的报价，系统即从接受新报价之时起重置竞价时限，竞买人可参加新一轮的报价。</w:t>
      </w:r>
      <w:r>
        <w:rPr>
          <w:rStyle w:val="17"/>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分钟倒计时内无人报价，则在该地块</w:t>
      </w:r>
      <w:r>
        <w:rPr>
          <w:rStyle w:val="17"/>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分钟倒计时结束时自动关闭竞价通道，系统确定当前最高有效报价，限时竞价结束。</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确定预竞得人：限时竞价结束系统判定当前最高有效报价是否达到底价，不低于底价的确定为预竞得人；低于底价不成交。限时竞价中无人报价的，以挂牌交易截止时最高有效报价为最终报价确定其为预竞得人。</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（四）预竞得人登录“网上交易系统”在“个人中心-&gt;我的文档”中打印《国有土地使用权预成交确认书》。</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八、资质审查</w:t>
      </w:r>
    </w:p>
    <w:p>
      <w:pPr>
        <w:tabs>
          <w:tab w:val="left" w:pos="4380"/>
        </w:tabs>
        <w:spacing w:line="540" w:lineRule="exact"/>
        <w:ind w:left="0" w:firstLine="643" w:firstLineChars="200"/>
        <w:rPr>
          <w:rFonts w:hint="eastAsia"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预竞得人在系统签发《国有土地使用权预成交确认书》的2个工作日内，将企业营业执照</w:t>
      </w:r>
      <w:r>
        <w:rPr>
          <w:rFonts w:hint="eastAsia" w:ascii="仿宋" w:hAnsi="仿宋" w:eastAsia="仿宋"/>
          <w:b/>
          <w:bCs/>
          <w:color w:val="FF0000"/>
          <w:sz w:val="32"/>
          <w:szCs w:val="32"/>
        </w:rPr>
        <w:t>原件扫描件</w:t>
      </w:r>
      <w:r>
        <w:rPr>
          <w:rFonts w:hint="eastAsia" w:ascii="仿宋" w:hAnsi="仿宋" w:eastAsia="仿宋"/>
          <w:b/>
          <w:bCs/>
          <w:color w:val="000000" w:themeColor="text1"/>
          <w:sz w:val="32"/>
          <w:szCs w:val="32"/>
          <w14:textFill>
            <w14:solidFill>
              <w14:schemeClr w14:val="tx1"/>
            </w14:solidFill>
          </w14:textFill>
        </w:rPr>
        <w:t>、法定代表人身份证</w:t>
      </w:r>
      <w:r>
        <w:rPr>
          <w:rFonts w:hint="eastAsia" w:ascii="仿宋" w:hAnsi="仿宋" w:eastAsia="仿宋"/>
          <w:b/>
          <w:bCs/>
          <w:color w:val="FF0000"/>
          <w:sz w:val="32"/>
          <w:szCs w:val="32"/>
        </w:rPr>
        <w:t>原件扫描件</w:t>
      </w:r>
      <w:r>
        <w:rPr>
          <w:rFonts w:hint="eastAsia" w:ascii="仿宋" w:hAnsi="仿宋" w:eastAsia="仿宋"/>
          <w:b/>
          <w:bCs/>
          <w:color w:val="000000" w:themeColor="text1"/>
          <w:sz w:val="32"/>
          <w:szCs w:val="32"/>
          <w14:textFill>
            <w14:solidFill>
              <w14:schemeClr w14:val="tx1"/>
            </w14:solidFill>
          </w14:textFill>
        </w:rPr>
        <w:t>、如委托他人办理的须上传委托书及受托人身份证</w:t>
      </w:r>
      <w:r>
        <w:rPr>
          <w:rFonts w:hint="eastAsia" w:ascii="仿宋" w:hAnsi="仿宋" w:eastAsia="仿宋"/>
          <w:b/>
          <w:bCs/>
          <w:color w:val="FF0000"/>
          <w:sz w:val="32"/>
          <w:szCs w:val="32"/>
        </w:rPr>
        <w:t>原件扫描件</w:t>
      </w:r>
      <w:r>
        <w:rPr>
          <w:rFonts w:hint="eastAsia" w:ascii="仿宋" w:hAnsi="仿宋" w:eastAsia="仿宋"/>
          <w:b/>
          <w:bCs/>
          <w:color w:val="000000" w:themeColor="text1"/>
          <w:sz w:val="32"/>
          <w:szCs w:val="32"/>
          <w14:textFill>
            <w14:solidFill>
              <w14:schemeClr w14:val="tx1"/>
            </w14:solidFill>
          </w14:textFill>
        </w:rPr>
        <w:t>、《国有土地使用权预成交确认书》</w:t>
      </w:r>
      <w:r>
        <w:rPr>
          <w:rFonts w:hint="eastAsia" w:ascii="仿宋" w:hAnsi="仿宋" w:eastAsia="仿宋"/>
          <w:b/>
          <w:bCs/>
          <w:color w:val="000000" w:themeColor="text1"/>
          <w:sz w:val="32"/>
          <w:szCs w:val="32"/>
          <w:lang w:eastAsia="zh-CN"/>
          <w14:textFill>
            <w14:solidFill>
              <w14:schemeClr w14:val="tx1"/>
            </w14:solidFill>
          </w14:textFill>
        </w:rPr>
        <w:t>、</w:t>
      </w:r>
      <w:r>
        <w:rPr>
          <w:rFonts w:hint="eastAsia" w:ascii="仿宋" w:hAnsi="仿宋" w:eastAsia="仿宋"/>
          <w:b/>
          <w:bCs/>
          <w:color w:val="000000" w:themeColor="text1"/>
          <w:sz w:val="32"/>
          <w:szCs w:val="32"/>
          <w:lang w:val="en-US" w:eastAsia="zh-CN"/>
          <w14:textFill>
            <w14:solidFill>
              <w14:schemeClr w14:val="tx1"/>
            </w14:solidFill>
          </w14:textFill>
        </w:rPr>
        <w:t>保证金缴纳回执单</w:t>
      </w:r>
      <w:r>
        <w:rPr>
          <w:rFonts w:hint="eastAsia" w:ascii="仿宋" w:hAnsi="仿宋" w:eastAsia="仿宋"/>
          <w:b/>
          <w:bCs/>
          <w:color w:val="000000" w:themeColor="text1"/>
          <w:sz w:val="32"/>
          <w:szCs w:val="32"/>
          <w14:textFill>
            <w14:solidFill>
              <w14:schemeClr w14:val="tx1"/>
            </w14:solidFill>
          </w14:textFill>
        </w:rPr>
        <w:t>上传至交易系统。</w:t>
      </w:r>
      <w:r>
        <w:rPr>
          <w:rFonts w:hint="eastAsia" w:ascii="仿宋" w:hAnsi="仿宋" w:eastAsia="仿宋"/>
          <w:b/>
          <w:bCs/>
          <w:color w:val="FF0000"/>
          <w:sz w:val="32"/>
          <w:szCs w:val="32"/>
        </w:rPr>
        <w:t>房地产开发和商业用地，预竞得人须上传保证金不属于银行贷款、股东借款、转贷和募集资金的承诺书及商业金融机构的资信证明</w:t>
      </w:r>
      <w:r>
        <w:rPr>
          <w:rFonts w:hint="eastAsia" w:ascii="仿宋" w:hAnsi="仿宋" w:eastAsia="仿宋"/>
          <w:b/>
          <w:bCs/>
          <w:color w:val="000000" w:themeColor="text1"/>
          <w:sz w:val="32"/>
          <w:szCs w:val="32"/>
          <w14:textFill>
            <w14:solidFill>
              <w14:schemeClr w14:val="tx1"/>
            </w14:solidFill>
          </w14:textFill>
        </w:rPr>
        <w:t>。交易中心在线对其进行资格确认。 通过资格确认的，交易中心签发《成交确认书》，未通过资格确认的取消其竞得资格。</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九、成交确认</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在资格审查结束后，根据审查结果确定资源成交，竞得人持所需材料在公告约定时间内与出让人签订国有土地使用权成交确认书；未通过审核的取消其竞得资格。</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十、结果公示</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成交确认书签订后，出让人与交易机构10个工作日内在相关网站发布成交结果公示，公示期不少于5天。</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十一、保证金的处置</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交易公示结束后，未竞得人的保证金5个工作日原路退还至基本账户（不计利息），竞得人的保证金可转做国有土地使用权出让金。</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十二、</w:t>
      </w:r>
      <w:r>
        <w:rPr>
          <w:rFonts w:hint="eastAsia" w:ascii="仿宋" w:hAnsi="仿宋" w:eastAsia="仿宋"/>
          <w:color w:val="000000" w:themeColor="text1"/>
          <w:sz w:val="32"/>
          <w:szCs w:val="32"/>
          <w14:textFill>
            <w14:solidFill>
              <w14:schemeClr w14:val="tx1"/>
            </w14:solidFill>
          </w14:textFill>
        </w:rPr>
        <w:t>竞买人未按照公告及挂牌出让文件全部要求执行的，所造成的一切损失和法律后果由竞买人自行承担。</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十三、</w:t>
      </w:r>
      <w:r>
        <w:rPr>
          <w:rFonts w:hint="eastAsia" w:ascii="仿宋" w:hAnsi="仿宋" w:eastAsia="仿宋"/>
          <w:color w:val="000000" w:themeColor="text1"/>
          <w:sz w:val="32"/>
          <w:szCs w:val="32"/>
          <w14:textFill>
            <w14:solidFill>
              <w14:schemeClr w14:val="tx1"/>
            </w14:solidFill>
          </w14:textFill>
        </w:rPr>
        <w:t>竞买人在“网上交易系统”实施的所有行为，均由“网上交易系统”自动记录，视为竞买人真实或经合法授权的行为，该行为所引起的法律责任由竞买人承担。</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十四、</w:t>
      </w:r>
      <w:r>
        <w:rPr>
          <w:rFonts w:hint="eastAsia" w:ascii="仿宋" w:hAnsi="仿宋" w:eastAsia="仿宋"/>
          <w:color w:val="000000" w:themeColor="text1"/>
          <w:sz w:val="32"/>
          <w:szCs w:val="32"/>
          <w14:textFill>
            <w14:solidFill>
              <w14:schemeClr w14:val="tx1"/>
            </w14:solidFill>
          </w14:textFill>
        </w:rPr>
        <w:t>竞买人应当妥善保管数字证书和密码。因竞买人电脑操作系统被侵入或其他自身原因导致数字证书遗失或密码泄漏等造成的损失，由竞买人自行承担。</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十五、</w:t>
      </w:r>
      <w:r>
        <w:rPr>
          <w:rFonts w:hint="eastAsia" w:ascii="仿宋" w:hAnsi="仿宋" w:eastAsia="仿宋"/>
          <w:color w:val="000000" w:themeColor="text1"/>
          <w:sz w:val="32"/>
          <w:szCs w:val="32"/>
          <w14:textFill>
            <w14:solidFill>
              <w14:schemeClr w14:val="tx1"/>
            </w14:solidFill>
          </w14:textFill>
        </w:rPr>
        <w:t>竞买人在参与网上公开交易活动前，应当及时检查所使用的计算机系统，若计算机系统遭遇网络安全事故（包括黑客攻击、病毒入侵等）、网络堵塞和系统硬件故障等导致不能正常登录网上交易系统进行竞买申请、网上报价、限时竞价的，产生的后果由竞买人自行承担。</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十六、</w:t>
      </w:r>
      <w:r>
        <w:rPr>
          <w:rFonts w:hint="eastAsia" w:ascii="仿宋" w:hAnsi="仿宋" w:eastAsia="仿宋"/>
          <w:color w:val="000000" w:themeColor="text1"/>
          <w:sz w:val="32"/>
          <w:szCs w:val="32"/>
          <w14:textFill>
            <w14:solidFill>
              <w14:schemeClr w14:val="tx1"/>
            </w14:solidFill>
          </w14:textFill>
        </w:rPr>
        <w:t>有下列情形之一的，国有土地使用权交易行为应中止</w:t>
      </w:r>
      <w:r>
        <w:rPr>
          <w:rStyle w:val="17"/>
          <w:rFonts w:hint="eastAsia" w:ascii="仿宋" w:hAnsi="仿宋" w:eastAsia="仿宋"/>
          <w:b w:val="0"/>
          <w:color w:val="000000" w:themeColor="text1"/>
          <w:sz w:val="32"/>
          <w:szCs w:val="32"/>
          <w14:textFill>
            <w14:solidFill>
              <w14:schemeClr w14:val="tx1"/>
            </w14:solidFill>
          </w14:textFill>
        </w:rPr>
        <w:t>：</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（一）网上交易系统受到网络恶意入侵的；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（二）因网上交易系统遭受破坏或发生电力、网络故障等不可抗力的非交易中心因素，导致网上交易系统不能正常运行的；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（三）因不可抗力应当中止国有土地使用权交易的其他情形。</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国有土地使用权交易行为中止的原因消除后，应当及时恢复国有土地使用权交易。</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十七、</w:t>
      </w:r>
      <w:r>
        <w:rPr>
          <w:rFonts w:hint="eastAsia" w:ascii="仿宋" w:hAnsi="仿宋" w:eastAsia="仿宋"/>
          <w:color w:val="000000" w:themeColor="text1"/>
          <w:sz w:val="32"/>
          <w:szCs w:val="32"/>
          <w14:textFill>
            <w14:solidFill>
              <w14:schemeClr w14:val="tx1"/>
            </w14:solidFill>
          </w14:textFill>
        </w:rPr>
        <w:t>出现以下情形之一的即视为竞得人违约，出让人有权解除《成交确认书》，并取消竞得人的资格。</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（一）竞得人提供的资质条件证明文件虚假的；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（二）竞得人隐瞒事实，恶意串通或采取其他非法手段竞得的；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（三）竞得人拒绝签订《成交确认书》；</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（四）公示期间有举报且经调查核实属违法违规行为的。</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十八、</w:t>
      </w:r>
      <w:r>
        <w:rPr>
          <w:rFonts w:hint="eastAsia" w:ascii="仿宋" w:hAnsi="仿宋" w:eastAsia="仿宋"/>
          <w:color w:val="000000" w:themeColor="text1"/>
          <w:sz w:val="32"/>
          <w:szCs w:val="32"/>
          <w14:textFill>
            <w14:solidFill>
              <w14:schemeClr w14:val="tx1"/>
            </w14:solidFill>
          </w14:textFill>
        </w:rPr>
        <w:t>出让人对本《国有土地使用权挂牌出让须知》有最终解释权。</w:t>
      </w:r>
    </w:p>
    <w:p>
      <w:pPr>
        <w:pStyle w:val="12"/>
        <w:shd w:val="clear" w:color="auto" w:fill="FFFFFF"/>
        <w:spacing w:before="0" w:beforeAutospacing="0" w:after="0" w:afterAutospacing="0" w:line="540" w:lineRule="exact"/>
        <w:ind w:firstLine="200"/>
        <w:jc w:val="both"/>
        <w:rPr>
          <w:rStyle w:val="17"/>
          <w:rFonts w:ascii="仿宋" w:hAnsi="仿宋" w:eastAsia="仿宋"/>
          <w:b w:val="0"/>
          <w:color w:val="000000" w:themeColor="text1"/>
          <w:sz w:val="32"/>
          <w:szCs w:val="32"/>
          <w14:textFill>
            <w14:solidFill>
              <w14:schemeClr w14:val="tx1"/>
            </w14:solidFill>
          </w14:textFill>
        </w:rPr>
      </w:pPr>
    </w:p>
    <w:p>
      <w:pPr>
        <w:pStyle w:val="12"/>
        <w:shd w:val="clear" w:color="auto" w:fill="FFFFFF"/>
        <w:spacing w:before="0" w:beforeAutospacing="0" w:after="0" w:afterAutospacing="0" w:line="540" w:lineRule="exact"/>
        <w:ind w:firstLine="200"/>
        <w:jc w:val="both"/>
        <w:rPr>
          <w:rStyle w:val="17"/>
          <w:rFonts w:ascii="仿宋" w:hAnsi="仿宋" w:eastAsia="仿宋"/>
          <w:b w:val="0"/>
          <w:color w:val="000000" w:themeColor="text1"/>
          <w:sz w:val="32"/>
          <w:szCs w:val="32"/>
          <w14:textFill>
            <w14:solidFill>
              <w14:schemeClr w14:val="tx1"/>
            </w14:solidFill>
          </w14:textFill>
        </w:rPr>
      </w:pPr>
    </w:p>
    <w:p>
      <w:pPr>
        <w:pStyle w:val="12"/>
        <w:shd w:val="clear" w:color="auto" w:fill="FFFFFF"/>
        <w:spacing w:before="0" w:beforeAutospacing="0" w:after="0" w:afterAutospacing="0" w:line="540" w:lineRule="exact"/>
        <w:ind w:firstLine="200"/>
        <w:jc w:val="both"/>
        <w:rPr>
          <w:rStyle w:val="17"/>
          <w:rFonts w:ascii="仿宋" w:hAnsi="仿宋" w:eastAsia="仿宋"/>
          <w:b w:val="0"/>
          <w:color w:val="000000" w:themeColor="text1"/>
          <w:sz w:val="32"/>
          <w:szCs w:val="32"/>
          <w14:textFill>
            <w14:solidFill>
              <w14:schemeClr w14:val="tx1"/>
            </w14:solidFill>
          </w14:textFill>
        </w:rPr>
      </w:pPr>
    </w:p>
    <w:p>
      <w:pPr>
        <w:pStyle w:val="12"/>
        <w:shd w:val="clear" w:color="auto" w:fill="FFFFFF"/>
        <w:spacing w:before="0" w:beforeAutospacing="0" w:after="0" w:afterAutospacing="0" w:line="540" w:lineRule="exact"/>
        <w:ind w:firstLine="200"/>
        <w:jc w:val="both"/>
        <w:rPr>
          <w:rStyle w:val="17"/>
          <w:rFonts w:ascii="仿宋" w:hAnsi="仿宋" w:eastAsia="仿宋"/>
          <w:b w:val="0"/>
          <w:color w:val="000000" w:themeColor="text1"/>
          <w:sz w:val="32"/>
          <w:szCs w:val="32"/>
          <w14:textFill>
            <w14:solidFill>
              <w14:schemeClr w14:val="tx1"/>
            </w14:solidFill>
          </w14:textFill>
        </w:rPr>
      </w:pPr>
    </w:p>
    <w:p>
      <w:pPr>
        <w:pStyle w:val="12"/>
        <w:shd w:val="clear" w:color="auto" w:fill="FFFFFF"/>
        <w:spacing w:before="0" w:beforeAutospacing="0" w:after="0" w:afterAutospacing="0" w:line="540" w:lineRule="exact"/>
        <w:ind w:firstLine="200"/>
        <w:jc w:val="both"/>
        <w:rPr>
          <w:rStyle w:val="17"/>
          <w:rFonts w:ascii="仿宋" w:hAnsi="仿宋" w:eastAsia="仿宋"/>
          <w:b w:val="0"/>
          <w:color w:val="000000" w:themeColor="text1"/>
          <w:sz w:val="32"/>
          <w:szCs w:val="32"/>
          <w14:textFill>
            <w14:solidFill>
              <w14:schemeClr w14:val="tx1"/>
            </w14:solidFill>
          </w14:textFill>
        </w:rPr>
      </w:pPr>
    </w:p>
    <w:p>
      <w:pPr>
        <w:pStyle w:val="12"/>
        <w:shd w:val="clear" w:color="auto" w:fill="FFFFFF"/>
        <w:spacing w:before="0" w:beforeAutospacing="0" w:after="0" w:afterAutospacing="0" w:line="540" w:lineRule="exact"/>
        <w:ind w:firstLine="200"/>
        <w:jc w:val="right"/>
        <w:rPr>
          <w:rFonts w:ascii="仿宋" w:hAnsi="仿宋" w:eastAsia="仿宋"/>
          <w:color w:val="auto"/>
          <w:sz w:val="32"/>
          <w:szCs w:val="32"/>
        </w:rPr>
      </w:pPr>
      <w:r>
        <w:rPr>
          <w:rStyle w:val="17"/>
          <w:rFonts w:hint="eastAsia" w:ascii="仿宋" w:hAnsi="仿宋" w:eastAsia="仿宋"/>
          <w:b w:val="0"/>
          <w:color w:val="auto"/>
          <w:sz w:val="32"/>
          <w:szCs w:val="32"/>
        </w:rPr>
        <w:t>乌海市公共资源交易中心</w:t>
      </w:r>
    </w:p>
    <w:p>
      <w:pPr>
        <w:pStyle w:val="12"/>
        <w:shd w:val="clear" w:color="auto" w:fill="FFFFFF"/>
        <w:spacing w:before="0" w:beforeAutospacing="0" w:after="0" w:afterAutospacing="0" w:line="540" w:lineRule="exact"/>
        <w:ind w:firstLine="6560" w:firstLineChars="2050"/>
        <w:jc w:val="both"/>
        <w:rPr>
          <w:rFonts w:ascii="仿宋" w:hAnsi="仿宋" w:eastAsia="仿宋"/>
          <w:color w:val="auto"/>
          <w:sz w:val="32"/>
          <w:szCs w:val="32"/>
          <w:highlight w:val="none"/>
        </w:rPr>
      </w:pP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FangSong_GB2312"/>
          <w:color w:val="auto"/>
          <w:sz w:val="32"/>
          <w:szCs w:val="32"/>
          <w:highlight w:val="none"/>
          <w:lang w:val="en-US" w:eastAsia="zh-CN"/>
        </w:rPr>
        <w:t>9</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12</w:t>
      </w:r>
      <w:r>
        <w:rPr>
          <w:rFonts w:hint="eastAsia" w:ascii="仿宋" w:hAnsi="仿宋" w:eastAsia="仿宋" w:cs="FangSong_GB2312"/>
          <w:color w:val="auto"/>
          <w:sz w:val="32"/>
          <w:szCs w:val="32"/>
          <w:highlight w:val="none"/>
        </w:rPr>
        <w:t>日</w:t>
      </w:r>
    </w:p>
    <w:p>
      <w:pPr>
        <w:pStyle w:val="12"/>
        <w:shd w:val="clear" w:color="auto" w:fill="FFFFFF"/>
        <w:spacing w:before="0" w:beforeAutospacing="0" w:after="0" w:afterAutospacing="0" w:line="540" w:lineRule="exact"/>
        <w:ind w:firstLine="6560" w:firstLineChars="2050"/>
        <w:jc w:val="both"/>
        <w:rPr>
          <w:rFonts w:ascii="仿宋" w:hAnsi="仿宋" w:eastAsia="仿宋"/>
          <w:color w:val="000000" w:themeColor="text1"/>
          <w:sz w:val="32"/>
          <w:szCs w:val="32"/>
          <w14:textFill>
            <w14:solidFill>
              <w14:schemeClr w14:val="tx1"/>
            </w14:solidFill>
          </w14:textFill>
        </w:rPr>
      </w:pPr>
    </w:p>
    <w:bookmarkEnd w:id="0"/>
    <w:sectPr>
      <w:headerReference r:id="rId5" w:type="default"/>
      <w:footerReference r:id="rId7" w:type="default"/>
      <w:headerReference r:id="rId6" w:type="even"/>
      <w:footerReference r:id="rId8" w:type="even"/>
      <w:endnotePr>
        <w:numFmt w:val="ideographDigital"/>
      </w:endnotePr>
      <w:pgSz w:w="11905" w:h="16837"/>
      <w:pgMar w:top="737" w:right="1134" w:bottom="737" w:left="1134" w:header="567" w:footer="567"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2010609060101010101"/>
    <w:charset w:val="00"/>
    <w:family w:val="roman"/>
    <w:pitch w:val="default"/>
    <w:sig w:usb0="00000000" w:usb1="00000000" w:usb2="00000000" w:usb3="00000000" w:csb0="00000000" w:csb1="00000000"/>
  </w:font>
  <w:font w:name="FangSong_GB2312falt">
    <w:altName w:val="微软雅黑"/>
    <w:panose1 w:val="00000000000000000000"/>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Align="top"/>
      <w:ind w:right="360" w:firstLine="360"/>
    </w:pPr>
  </w:p>
  <w:p>
    <w:pPr>
      <w:ind w:firstLine="8505" w:firstLineChars="4050"/>
    </w:pPr>
    <w:r>
      <w:fldChar w:fldCharType="begin"/>
    </w:r>
    <w:r>
      <w:instrText xml:space="preserve"> PAGE  </w:instrText>
    </w:r>
    <w:r>
      <w:fldChar w:fldCharType="separate"/>
    </w:r>
    <w:r>
      <w:t>- 1 -</w:t>
    </w:r>
    <w:r>
      <w:fldChar w:fldCharType="end"/>
    </w:r>
  </w:p>
  <w:p>
    <w:pPr>
      <w:spacing w:line="1" w:lineRule="atLeas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Align="top"/>
      <w:ind w:left="0" w:firstLine="0"/>
    </w:pPr>
    <w:r>
      <w:fldChar w:fldCharType="begin"/>
    </w:r>
    <w:r>
      <w:instrText xml:space="preserve"> PAGE  </w:instrText>
    </w:r>
    <w:r>
      <w:fldChar w:fldCharType="separate"/>
    </w:r>
    <w:r>
      <w:t>- 2 -</w:t>
    </w:r>
    <w:r>
      <w:fldChar w:fldCharType="end"/>
    </w:r>
  </w:p>
  <w:p>
    <w:pPr>
      <w:ind w:left="0"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61312" behindDoc="1" locked="0" layoutInCell="1" allowOverlap="1">
              <wp:simplePos x="0" y="0"/>
              <wp:positionH relativeFrom="page">
                <wp:posOffset>719455</wp:posOffset>
              </wp:positionH>
              <wp:positionV relativeFrom="page">
                <wp:posOffset>359410</wp:posOffset>
              </wp:positionV>
              <wp:extent cx="6116320" cy="180340"/>
              <wp:effectExtent l="0" t="0" r="0" b="0"/>
              <wp:wrapNone/>
              <wp:docPr id="3" name="文本框 5"/>
              <wp:cNvGraphicFramePr/>
              <a:graphic xmlns:a="http://schemas.openxmlformats.org/drawingml/2006/main">
                <a:graphicData uri="http://schemas.microsoft.com/office/word/2010/wordprocessingShape">
                  <wps:wsp>
                    <wps:cNvSpPr txBox="1"/>
                    <wps:spPr>
                      <a:xfrm>
                        <a:off x="0" y="0"/>
                        <a:ext cx="6116320" cy="180340"/>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5" o:spid="_x0000_s1026" o:spt="202" type="#_x0000_t202" style="position:absolute;left:0pt;margin-left:56.65pt;margin-top:28.3pt;height:14.2pt;width:481.6pt;mso-position-horizontal-relative:page;mso-position-vertical-relative:page;z-index:-251655168;mso-width-relative:page;mso-height-relative:page;" filled="f" stroked="f" coordsize="21600,21600" o:gfxdata="UEsDBAoAAAAAAIdO4kAAAAAAAAAAAAAAAAAEAAAAZHJzL1BLAwQUAAAACACHTuJAz3igdtkAAAAK&#10;AQAADwAAAGRycy9kb3ducmV2LnhtbE2Py27CMBBF95X4B2uQuit2SBNQGocFqO2iqwJCXTrxkATi&#10;cRSb19/XrGB5NUf3nskXV9OxMw6utSQhmghgSJXVLdUStpvPtzkw5xVp1VlCCTd0sChGL7nKtL3Q&#10;L57XvmahhFymJDTe9xnnrmrQKDexPVK47e1glA9xqLke1CWUm45PhUi5US2FhUb1uGywOq5PRsKh&#10;vH1Pt271c/Dv8X7jd7O/1Vcp5es4Eh/APF79A4a7flCHIjiV9kTasS7kKI4DKiFJU2B3QMzSBFgp&#10;YZ4I4EXOn18o/gFQSwMEFAAAAAgAh07iQGgKV+LCAQAAkAMAAA4AAABkcnMvZTJvRG9jLnhtbK1T&#10;TY7TMBTeI3EHy3vqpIVqFDUdCVWDkBAgDXMA13lpLPlPttukF4AbsGLDnnP1HDw7mRKGzSzYOO/P&#10;n9/3vZfN7aAVOYEP0pqalouCEjDCNtIcavrw5e7VDSUhctNwZQ3U9AyB3m5fvtj0roKl7axqwBME&#10;MaHqXU27GF3FWBAdaB4W1oHBZGu95hFdf2CN5z2ia8WWRbFmvfWN81ZACBjdjUk6IfrnANq2lQJ2&#10;Vhw1mDiielA8IqXQSRfoNnfbtiDip7YNEImqKTKN+cRH0N6nk203vDp47jopphb4c1p4wklzafDR&#10;K9SOR06OXv4DpaXwNtg2LoTVbCSSFUEWZfFEm/uOO8hcUOrgrqKH/wcrPp4+eyKbmq4oMVzjwC/f&#10;v11+/Lr8/EreJHl6FyqsundYF4e3dsCleYwHDCbWQ+t1+iIfgnkU93wVF4ZIBAbXZbleLTElMFfe&#10;FKvXWX3257bzIb4Dq0kyaupxeFlTfvoQInaCpY8l6TFj76RSeYDK/BXAwjECeQOm24nI2HCy4rAf&#10;JnZ725yRnHpvUNjVuijSoswdP3f2c+fovDx02GyWhCVgHFRudVqqtAlzH+35j7T9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94oHbZAAAACgEAAA8AAAAAAAAAAQAgAAAAIgAAAGRycy9kb3ducmV2&#10;LnhtbFBLAQIUABQAAAAIAIdO4kBoClfiwgEAAJADAAAOAAAAAAAAAAEAIAAAACgBAABkcnMvZTJv&#10;RG9jLnhtbFBLBQYAAAAABgAGAFkBAABcBQAAAAA=&#10;">
              <v:fill on="f" focussize="0,0"/>
              <v:stroke on="f"/>
              <v:imagedata o:title=""/>
              <o:lock v:ext="edit" aspectratio="f"/>
              <v:textbox inset="1mm,1mm,1mm,1mm">
                <w:txbxContent>
                  <w:p>
                    <w:pPr>
                      <w:spacing w:line="334" w:lineRule="atLeast"/>
                      <w:ind w:firstLine="0"/>
                    </w:pP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719455</wp:posOffset>
              </wp:positionH>
              <wp:positionV relativeFrom="page">
                <wp:posOffset>10144760</wp:posOffset>
              </wp:positionV>
              <wp:extent cx="6116320" cy="179705"/>
              <wp:effectExtent l="0" t="0" r="0" b="0"/>
              <wp:wrapNone/>
              <wp:docPr id="4" name="文本框 6"/>
              <wp:cNvGraphicFramePr/>
              <a:graphic xmlns:a="http://schemas.openxmlformats.org/drawingml/2006/main">
                <a:graphicData uri="http://schemas.microsoft.com/office/word/2010/wordprocessingShape">
                  <wps:wsp>
                    <wps:cNvSpPr txBox="1"/>
                    <wps:spPr>
                      <a:xfrm>
                        <a:off x="0" y="0"/>
                        <a:ext cx="6116320" cy="179705"/>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6" o:spid="_x0000_s1026" o:spt="202" type="#_x0000_t202" style="position:absolute;left:0pt;margin-left:56.65pt;margin-top:798.8pt;height:14.15pt;width:481.6pt;mso-position-horizontal-relative:page;mso-position-vertical-relative:page;z-index:-251654144;mso-width-relative:page;mso-height-relative:page;" filled="f" stroked="f" coordsize="21600,21600" o:gfxdata="UEsDBAoAAAAAAIdO4kAAAAAAAAAAAAAAAAAEAAAAZHJzL1BLAwQUAAAACACHTuJAqavDX9wAAAAO&#10;AQAADwAAAGRycy9kb3ducmV2LnhtbE2PzU7DMBCE70i8g7VI3KidhCRtiNMDFXDgRFuhHp3YTVLi&#10;dRS7f2/P9gS3Ge2n2ZlyebEDO5nJ9w4lRDMBzGDjdI+thO3m7WkOzAeFWg0OjYSr8bCs7u9KVWh3&#10;xi9zWoeWUQj6QknoQhgLzn3TGav8zI0G6bZ3k1WB7NRyPakzhduBx0Jk3Koe6UOnRvPameZnfbQS&#10;DvX1I9761echPCf7TfjOd6v3WsrHh0i8AAvmEv5guNWn6lBRp9odUXs2kI+ShFAS6SLPgN0QkWcp&#10;sJpUFqcL4FXJ/8+ofgFQSwMEFAAAAAgAh07iQAKuI77CAQAAkAMAAA4AAABkcnMvZTJvRG9jLnht&#10;bK1TS27bMBDdF8gdCO5rSk6qpILlAIWRokDRFkh6AJoiLQL8gaQt+QLtDbrqpvuey+fIkFJcNd1k&#10;0Q01Pz7OezNa3Q5aoQP3QVrT4HJRYMQNs600uwZ/fbh7fYNRiNS0VFnDG3zkAd+uL16telfzpe2s&#10;arlHAGJC3bsGdzG6mpDAOq5pWFjHDSSF9ZpGcP2OtJ72gK4VWRZFRXrrW+ct4yFAdDMm8YToXwJo&#10;hZCMbyzba27iiOq5ohEohU66gNe5WyE4i5+FCDwi1WBgGvMJj4C9TSdZr2i989R1kk0t0Je08IyT&#10;ptLAo2eoDY0U7b38B0pL5m2wIi6Y1WQkkhUBFmXxTJv7jjqeuYDUwZ1FD/8Pln06fPFItg2+wshQ&#10;DQM//fh++vn79OsbqpI8vQs1VN07qIvDOzvA0jzFAwQT60F4nb7AB0EexD2exeVDRAyCVVlWl0tI&#10;MciV12+vizcJhvy57XyI77nVKBkN9jC8rCk9fAxxLH0qSY8ZeyeVygNU5q8AYI4Rnjdgup2IjA0n&#10;Kw7bYWK3te0RyKkPBoS9rIoiLcrc8XNnO3f2zstdB81mSUgChkFlVtNSpU2Y+2DPf6T1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mrw1/cAAAADgEAAA8AAAAAAAAAAQAgAAAAIgAAAGRycy9kb3du&#10;cmV2LnhtbFBLAQIUABQAAAAIAIdO4kACriO+wgEAAJADAAAOAAAAAAAAAAEAIAAAACsBAABkcnMv&#10;ZTJvRG9jLnhtbFBLBQYAAAAABgAGAFkBAABfBQAAAAA=&#10;">
              <v:fill on="f" focussize="0,0"/>
              <v:stroke on="f"/>
              <v:imagedata o:title=""/>
              <o:lock v:ext="edit" aspectratio="f"/>
              <v:textbox inset="1mm,1mm,1mm,1mm">
                <w:txbxContent>
                  <w:p>
                    <w:pPr>
                      <w:spacing w:line="334" w:lineRule="atLeast"/>
                      <w:ind w:firstLine="0"/>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59264" behindDoc="1" locked="0" layoutInCell="1" allowOverlap="1">
              <wp:simplePos x="0" y="0"/>
              <wp:positionH relativeFrom="page">
                <wp:posOffset>719455</wp:posOffset>
              </wp:positionH>
              <wp:positionV relativeFrom="page">
                <wp:posOffset>359410</wp:posOffset>
              </wp:positionV>
              <wp:extent cx="6116320" cy="180340"/>
              <wp:effectExtent l="0" t="0" r="0" b="0"/>
              <wp:wrapNone/>
              <wp:docPr id="1" name="文本框 2"/>
              <wp:cNvGraphicFramePr/>
              <a:graphic xmlns:a="http://schemas.openxmlformats.org/drawingml/2006/main">
                <a:graphicData uri="http://schemas.microsoft.com/office/word/2010/wordprocessingShape">
                  <wps:wsp>
                    <wps:cNvSpPr txBox="1"/>
                    <wps:spPr>
                      <a:xfrm>
                        <a:off x="0" y="0"/>
                        <a:ext cx="6116320" cy="180340"/>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2" o:spid="_x0000_s1026" o:spt="202" type="#_x0000_t202" style="position:absolute;left:0pt;margin-left:56.65pt;margin-top:28.3pt;height:14.2pt;width:481.6pt;mso-position-horizontal-relative:page;mso-position-vertical-relative:page;z-index:-251657216;mso-width-relative:page;mso-height-relative:page;" filled="f" stroked="f" coordsize="21600,21600" o:gfxdata="UEsDBAoAAAAAAIdO4kAAAAAAAAAAAAAAAAAEAAAAZHJzL1BLAwQUAAAACACHTuJAz3igdtkAAAAK&#10;AQAADwAAAGRycy9kb3ducmV2LnhtbE2Py27CMBBF95X4B2uQuit2SBNQGocFqO2iqwJCXTrxkATi&#10;cRSb19/XrGB5NUf3nskXV9OxMw6utSQhmghgSJXVLdUStpvPtzkw5xVp1VlCCTd0sChGL7nKtL3Q&#10;L57XvmahhFymJDTe9xnnrmrQKDexPVK47e1glA9xqLke1CWUm45PhUi5US2FhUb1uGywOq5PRsKh&#10;vH1Pt271c/Dv8X7jd7O/1Vcp5es4Eh/APF79A4a7flCHIjiV9kTasS7kKI4DKiFJU2B3QMzSBFgp&#10;YZ4I4EXOn18o/gFQSwMEFAAAAAgAh07iQKBBTAXCAQAAkAMAAA4AAABkcnMvZTJvRG9jLnhtbK1T&#10;zY7TMBC+I/EOlu/USYuqVdR0pVW1KyQESAsP4DpOY8l/GrtN+gLwBpy4cOe5+hyMnWwJy2UPXBzP&#10;j7+Z75vJ5nYwmpwkBOVsTctFQYm0wjXKHmr65fP9mxtKQuS24dpZWdOzDPR2+/rVpveVXLrO6UYC&#10;QRAbqt7XtIvRV4wF0UnDw8J5aTHYOjA8ogkH1gDvEd1otiyKNesdNB6ckCGgdzcG6YQILwF0bauE&#10;3DlxNNLGERWk5hEphU75QLe527aVIn5s2yAj0TVFpjGfWATv+3Sy7YZXB+C+U2Jqgb+khWecDFcW&#10;i16hdjxycgT1D5RRAlxwbVwIZ9hIJCuCLMrimTaPHfcyc0Gpg7+KHv4frPhw+gRENbgJlFhucOCX&#10;798uP35dfn4lyyRP70OFWY8e8+Jw54aUOvkDOhProQWTvsiHYBzFPV/FlUMkAp3rslyvlhgSGCtv&#10;itXbrD7789pDiA/SGZIuNQUcXtaUn96HiBUx9SklFbPuXmmdB6jtXw5MHD0yb8D0OhEZG063OOyH&#10;icXeNWckp99ZFHa1Loq0KHMD5sZ+bhw9qEOHzWZJWALGQeVWp6VKmzC38T7/kb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94oHbZAAAACgEAAA8AAAAAAAAAAQAgAAAAIgAAAGRycy9kb3ducmV2&#10;LnhtbFBLAQIUABQAAAAIAIdO4kCgQUwFwgEAAJADAAAOAAAAAAAAAAEAIAAAACgBAABkcnMvZTJv&#10;RG9jLnhtbFBLBQYAAAAABgAGAFkBAABcBQAAAAA=&#10;">
              <v:fill on="f" focussize="0,0"/>
              <v:stroke on="f"/>
              <v:imagedata o:title=""/>
              <o:lock v:ext="edit" aspectratio="f"/>
              <v:textbox inset="1mm,1mm,1mm,1mm">
                <w:txbxContent>
                  <w:p>
                    <w:pPr>
                      <w:spacing w:line="334" w:lineRule="atLeast"/>
                      <w:ind w:firstLine="0"/>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719455</wp:posOffset>
              </wp:positionH>
              <wp:positionV relativeFrom="page">
                <wp:posOffset>10144760</wp:posOffset>
              </wp:positionV>
              <wp:extent cx="6116320" cy="179705"/>
              <wp:effectExtent l="0" t="0" r="0" b="0"/>
              <wp:wrapNone/>
              <wp:docPr id="2" name="文本框 3"/>
              <wp:cNvGraphicFramePr/>
              <a:graphic xmlns:a="http://schemas.openxmlformats.org/drawingml/2006/main">
                <a:graphicData uri="http://schemas.microsoft.com/office/word/2010/wordprocessingShape">
                  <wps:wsp>
                    <wps:cNvSpPr txBox="1"/>
                    <wps:spPr>
                      <a:xfrm>
                        <a:off x="0" y="0"/>
                        <a:ext cx="6116320" cy="179705"/>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3" o:spid="_x0000_s1026" o:spt="202" type="#_x0000_t202" style="position:absolute;left:0pt;margin-left:56.65pt;margin-top:798.8pt;height:14.15pt;width:481.6pt;mso-position-horizontal-relative:page;mso-position-vertical-relative:page;z-index:-251656192;mso-width-relative:page;mso-height-relative:page;" filled="f" stroked="f" coordsize="21600,21600" o:gfxdata="UEsDBAoAAAAAAIdO4kAAAAAAAAAAAAAAAAAEAAAAZHJzL1BLAwQUAAAACACHTuJAqavDX9wAAAAO&#10;AQAADwAAAGRycy9kb3ducmV2LnhtbE2PzU7DMBCE70i8g7VI3KidhCRtiNMDFXDgRFuhHp3YTVLi&#10;dRS7f2/P9gS3Ge2n2ZlyebEDO5nJ9w4lRDMBzGDjdI+thO3m7WkOzAeFWg0OjYSr8bCs7u9KVWh3&#10;xi9zWoeWUQj6QknoQhgLzn3TGav8zI0G6bZ3k1WB7NRyPakzhduBx0Jk3Koe6UOnRvPameZnfbQS&#10;DvX1I9761echPCf7TfjOd6v3WsrHh0i8AAvmEv5guNWn6lBRp9odUXs2kI+ShFAS6SLPgN0QkWcp&#10;sJpUFqcL4FXJ/8+ofgFQSwMEFAAAAAgAh07iQGCHSArBAQAAkAMAAA4AAABkcnMvZTJvRG9jLnht&#10;bK1TTY7TMBTeI3EHy3uapBUdiJqOhKpBSAiQBg7gOnZjyfazbLdJLwA3YMWGPefqOXh2MiUMm1mw&#10;cd6fP7/vey+b28FochI+KLANrRYlJcJyaJU9NPTL57sXrygJkdmWabCioWcR6O32+bNN72qxhA50&#10;KzxBEBvq3jW0i9HVRRF4JwwLC3DCYlKCNyyi6w9F61mP6EYXy7JcFz341nngIgSM7sYknRD9UwBB&#10;SsXFDvjRCBtHVC80i0gpdMoFus3dSil4/ChlEJHohiLTmE98BO19OovthtUHz1yn+NQCe0oLjzgZ&#10;piw+eoXascjI0at/oIziHgLIuOBgipFIVgRZVOUjbe475kTmglIHdxU9/D9Y/uH0yRPVNnRJiWUG&#10;B375/u3y49fl51eySvL0LtRYde+wLg5vYMCleYgHDCbWg/QmfZEPwTyKe76KK4ZIOAbXVbVeLTHF&#10;MVfdvL4pXyaY4s9t50N8K8CQZDTU4/Cypuz0PsSx9KEkPWbhTmmdB6jtXwHEHCMib8B0OxEZG05W&#10;HPbDxG4P7RnJ6XcWhV2tyzItytzxc2c/d47Oq0OHzWZJigSMg8qspqVKmzD30Z7/SN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avDX9wAAAAOAQAADwAAAAAAAAABACAAAAAiAAAAZHJzL2Rvd25y&#10;ZXYueG1sUEsBAhQAFAAAAAgAh07iQGCHSArBAQAAkAMAAA4AAAAAAAAAAQAgAAAAKwEAAGRycy9l&#10;Mm9Eb2MueG1sUEsFBgAAAAAGAAYAWQEAAF4FAAAAAA==&#10;">
              <v:fill on="f" focussize="0,0"/>
              <v:stroke on="f"/>
              <v:imagedata o:title=""/>
              <o:lock v:ext="edit" aspectratio="f"/>
              <v:textbox inset="1mm,1mm,1mm,1mm">
                <w:txbxContent>
                  <w:p>
                    <w:pPr>
                      <w:spacing w:line="334" w:lineRule="atLeast"/>
                      <w:ind w:firstLine="0"/>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D7FC2"/>
    <w:multiLevelType w:val="singleLevel"/>
    <w:tmpl w:val="870D7FC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839"/>
  <w:doNotHyphenateCaps/>
  <w:evenAndOddHeaders w:val="1"/>
  <w:drawingGridHorizontalSpacing w:val="0"/>
  <w:drawingGridVertic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footnotePr>
    <w:footnote w:id="0"/>
    <w:footnote w:id="1"/>
  </w:footnotePr>
  <w:endnotePr>
    <w:numFmt w:val="ideographDigital"/>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yNjgzMzdmYjMzMDExNDk3N2U2ZDlkMjVlNjE3ZDgifQ=="/>
    <w:docVar w:name="KSO_WPS_MARK_KEY" w:val="67e3e82b-30bf-40b2-b6f9-501b2b094da6"/>
  </w:docVars>
  <w:rsids>
    <w:rsidRoot w:val="00172A27"/>
    <w:rsid w:val="0000006B"/>
    <w:rsid w:val="00007762"/>
    <w:rsid w:val="00007854"/>
    <w:rsid w:val="0001394F"/>
    <w:rsid w:val="00015418"/>
    <w:rsid w:val="00016D91"/>
    <w:rsid w:val="0002146D"/>
    <w:rsid w:val="00021D7C"/>
    <w:rsid w:val="000241E5"/>
    <w:rsid w:val="000248DA"/>
    <w:rsid w:val="0003072E"/>
    <w:rsid w:val="00031921"/>
    <w:rsid w:val="00033D76"/>
    <w:rsid w:val="00034099"/>
    <w:rsid w:val="000346E9"/>
    <w:rsid w:val="00036CE6"/>
    <w:rsid w:val="00037F5F"/>
    <w:rsid w:val="000432BC"/>
    <w:rsid w:val="00044C1B"/>
    <w:rsid w:val="00045B77"/>
    <w:rsid w:val="00047060"/>
    <w:rsid w:val="000504F8"/>
    <w:rsid w:val="00055034"/>
    <w:rsid w:val="00055432"/>
    <w:rsid w:val="000559AB"/>
    <w:rsid w:val="00056060"/>
    <w:rsid w:val="000636A6"/>
    <w:rsid w:val="00063B89"/>
    <w:rsid w:val="00063F8F"/>
    <w:rsid w:val="00065479"/>
    <w:rsid w:val="0006702F"/>
    <w:rsid w:val="00067DBF"/>
    <w:rsid w:val="00070638"/>
    <w:rsid w:val="00075C37"/>
    <w:rsid w:val="00075E74"/>
    <w:rsid w:val="00076166"/>
    <w:rsid w:val="00076F9F"/>
    <w:rsid w:val="000773A3"/>
    <w:rsid w:val="0008471F"/>
    <w:rsid w:val="00085E5B"/>
    <w:rsid w:val="00087B8C"/>
    <w:rsid w:val="00092342"/>
    <w:rsid w:val="00092CC4"/>
    <w:rsid w:val="000961BE"/>
    <w:rsid w:val="000962C5"/>
    <w:rsid w:val="000A4243"/>
    <w:rsid w:val="000A5FFF"/>
    <w:rsid w:val="000B2F57"/>
    <w:rsid w:val="000B3F56"/>
    <w:rsid w:val="000B4F7D"/>
    <w:rsid w:val="000B5158"/>
    <w:rsid w:val="000B5884"/>
    <w:rsid w:val="000B74DD"/>
    <w:rsid w:val="000C33D4"/>
    <w:rsid w:val="000C3764"/>
    <w:rsid w:val="000C4394"/>
    <w:rsid w:val="000C5ADA"/>
    <w:rsid w:val="000D18E6"/>
    <w:rsid w:val="000D2100"/>
    <w:rsid w:val="000D2812"/>
    <w:rsid w:val="000D2AEF"/>
    <w:rsid w:val="000D47CF"/>
    <w:rsid w:val="000D5CE5"/>
    <w:rsid w:val="000D7E39"/>
    <w:rsid w:val="000E1628"/>
    <w:rsid w:val="000E1FC2"/>
    <w:rsid w:val="000E2D66"/>
    <w:rsid w:val="000F4AD6"/>
    <w:rsid w:val="000F5E64"/>
    <w:rsid w:val="0010359E"/>
    <w:rsid w:val="00106683"/>
    <w:rsid w:val="00106C3F"/>
    <w:rsid w:val="00107256"/>
    <w:rsid w:val="0011052F"/>
    <w:rsid w:val="00112335"/>
    <w:rsid w:val="00113A6F"/>
    <w:rsid w:val="0011625D"/>
    <w:rsid w:val="00117B5B"/>
    <w:rsid w:val="00120182"/>
    <w:rsid w:val="001225C1"/>
    <w:rsid w:val="00123A0E"/>
    <w:rsid w:val="00123C51"/>
    <w:rsid w:val="0012433C"/>
    <w:rsid w:val="00124A24"/>
    <w:rsid w:val="00126276"/>
    <w:rsid w:val="001265A3"/>
    <w:rsid w:val="001266C1"/>
    <w:rsid w:val="001279A9"/>
    <w:rsid w:val="00130129"/>
    <w:rsid w:val="00132492"/>
    <w:rsid w:val="001332A7"/>
    <w:rsid w:val="00133CE9"/>
    <w:rsid w:val="00136F33"/>
    <w:rsid w:val="001405A6"/>
    <w:rsid w:val="00140C02"/>
    <w:rsid w:val="00141C7B"/>
    <w:rsid w:val="001422A6"/>
    <w:rsid w:val="001449E2"/>
    <w:rsid w:val="00150B66"/>
    <w:rsid w:val="00150E51"/>
    <w:rsid w:val="001543CF"/>
    <w:rsid w:val="00162DAB"/>
    <w:rsid w:val="00165AD2"/>
    <w:rsid w:val="00166C34"/>
    <w:rsid w:val="00172A27"/>
    <w:rsid w:val="00173B3B"/>
    <w:rsid w:val="00177686"/>
    <w:rsid w:val="00180BB9"/>
    <w:rsid w:val="001814E7"/>
    <w:rsid w:val="00182448"/>
    <w:rsid w:val="001845E6"/>
    <w:rsid w:val="001867A7"/>
    <w:rsid w:val="00187121"/>
    <w:rsid w:val="00187464"/>
    <w:rsid w:val="00192C14"/>
    <w:rsid w:val="00197FCB"/>
    <w:rsid w:val="001A21E0"/>
    <w:rsid w:val="001A3305"/>
    <w:rsid w:val="001B16CB"/>
    <w:rsid w:val="001B35FD"/>
    <w:rsid w:val="001B5718"/>
    <w:rsid w:val="001B73C8"/>
    <w:rsid w:val="001C357D"/>
    <w:rsid w:val="001C3645"/>
    <w:rsid w:val="001C38F4"/>
    <w:rsid w:val="001C47A8"/>
    <w:rsid w:val="001C7F3C"/>
    <w:rsid w:val="001D1B9E"/>
    <w:rsid w:val="001D3725"/>
    <w:rsid w:val="001D37F8"/>
    <w:rsid w:val="001D582B"/>
    <w:rsid w:val="001D61C7"/>
    <w:rsid w:val="001D66B6"/>
    <w:rsid w:val="001D7AFC"/>
    <w:rsid w:val="001E525B"/>
    <w:rsid w:val="001E5555"/>
    <w:rsid w:val="001E6183"/>
    <w:rsid w:val="001E7FEC"/>
    <w:rsid w:val="001F1488"/>
    <w:rsid w:val="001F1A8E"/>
    <w:rsid w:val="001F3045"/>
    <w:rsid w:val="001F534F"/>
    <w:rsid w:val="001F777E"/>
    <w:rsid w:val="002005F0"/>
    <w:rsid w:val="00201BD3"/>
    <w:rsid w:val="002022E7"/>
    <w:rsid w:val="00202339"/>
    <w:rsid w:val="00202668"/>
    <w:rsid w:val="00202A9C"/>
    <w:rsid w:val="002067C8"/>
    <w:rsid w:val="00211A1A"/>
    <w:rsid w:val="00211C8B"/>
    <w:rsid w:val="00213086"/>
    <w:rsid w:val="00217B8B"/>
    <w:rsid w:val="00217E96"/>
    <w:rsid w:val="00223F59"/>
    <w:rsid w:val="00224B49"/>
    <w:rsid w:val="00227FC8"/>
    <w:rsid w:val="00231DAD"/>
    <w:rsid w:val="00231E37"/>
    <w:rsid w:val="00231F7E"/>
    <w:rsid w:val="002321CB"/>
    <w:rsid w:val="0023398F"/>
    <w:rsid w:val="00234701"/>
    <w:rsid w:val="002400AD"/>
    <w:rsid w:val="00240176"/>
    <w:rsid w:val="0024210E"/>
    <w:rsid w:val="0024388E"/>
    <w:rsid w:val="00245B27"/>
    <w:rsid w:val="00250184"/>
    <w:rsid w:val="00250227"/>
    <w:rsid w:val="00250448"/>
    <w:rsid w:val="00250D2D"/>
    <w:rsid w:val="00250E39"/>
    <w:rsid w:val="00253BD1"/>
    <w:rsid w:val="002543D6"/>
    <w:rsid w:val="002558FD"/>
    <w:rsid w:val="00256566"/>
    <w:rsid w:val="00257E8C"/>
    <w:rsid w:val="002632AA"/>
    <w:rsid w:val="00263B2F"/>
    <w:rsid w:val="00264B73"/>
    <w:rsid w:val="00265E63"/>
    <w:rsid w:val="00273486"/>
    <w:rsid w:val="00273B44"/>
    <w:rsid w:val="00273D05"/>
    <w:rsid w:val="00274EBA"/>
    <w:rsid w:val="00274F29"/>
    <w:rsid w:val="002762AF"/>
    <w:rsid w:val="0027760B"/>
    <w:rsid w:val="00281383"/>
    <w:rsid w:val="00281C98"/>
    <w:rsid w:val="00282CD1"/>
    <w:rsid w:val="0028321A"/>
    <w:rsid w:val="0028441F"/>
    <w:rsid w:val="00284C04"/>
    <w:rsid w:val="002851D3"/>
    <w:rsid w:val="00286DEB"/>
    <w:rsid w:val="00286E95"/>
    <w:rsid w:val="00291432"/>
    <w:rsid w:val="0029287E"/>
    <w:rsid w:val="00293346"/>
    <w:rsid w:val="00294413"/>
    <w:rsid w:val="00295D73"/>
    <w:rsid w:val="00295D82"/>
    <w:rsid w:val="00296B94"/>
    <w:rsid w:val="0029741C"/>
    <w:rsid w:val="002A048D"/>
    <w:rsid w:val="002A0978"/>
    <w:rsid w:val="002A1EB4"/>
    <w:rsid w:val="002A2F79"/>
    <w:rsid w:val="002A30CD"/>
    <w:rsid w:val="002A3B5C"/>
    <w:rsid w:val="002B33DD"/>
    <w:rsid w:val="002B5FBB"/>
    <w:rsid w:val="002C1FA1"/>
    <w:rsid w:val="002C23B8"/>
    <w:rsid w:val="002C3CA2"/>
    <w:rsid w:val="002C5A17"/>
    <w:rsid w:val="002C7DBA"/>
    <w:rsid w:val="002D238A"/>
    <w:rsid w:val="002D2527"/>
    <w:rsid w:val="002D406F"/>
    <w:rsid w:val="002D53D4"/>
    <w:rsid w:val="002D5639"/>
    <w:rsid w:val="002D78A9"/>
    <w:rsid w:val="002E0029"/>
    <w:rsid w:val="002E11BB"/>
    <w:rsid w:val="002E1F2B"/>
    <w:rsid w:val="002E27A4"/>
    <w:rsid w:val="002E3327"/>
    <w:rsid w:val="002E5441"/>
    <w:rsid w:val="002E6527"/>
    <w:rsid w:val="002F1654"/>
    <w:rsid w:val="002F2FCA"/>
    <w:rsid w:val="002F3995"/>
    <w:rsid w:val="002F4982"/>
    <w:rsid w:val="002F5C54"/>
    <w:rsid w:val="002F6320"/>
    <w:rsid w:val="00300053"/>
    <w:rsid w:val="00300493"/>
    <w:rsid w:val="003006E5"/>
    <w:rsid w:val="003039C9"/>
    <w:rsid w:val="0030446F"/>
    <w:rsid w:val="003054A9"/>
    <w:rsid w:val="00305A29"/>
    <w:rsid w:val="003062E4"/>
    <w:rsid w:val="00310245"/>
    <w:rsid w:val="00312BF3"/>
    <w:rsid w:val="00313639"/>
    <w:rsid w:val="00315D20"/>
    <w:rsid w:val="00320837"/>
    <w:rsid w:val="00325559"/>
    <w:rsid w:val="00330D06"/>
    <w:rsid w:val="003310AA"/>
    <w:rsid w:val="003319EB"/>
    <w:rsid w:val="00334C1F"/>
    <w:rsid w:val="00335622"/>
    <w:rsid w:val="00345459"/>
    <w:rsid w:val="00345684"/>
    <w:rsid w:val="00345ED6"/>
    <w:rsid w:val="003543FE"/>
    <w:rsid w:val="0036172F"/>
    <w:rsid w:val="0036181B"/>
    <w:rsid w:val="00362189"/>
    <w:rsid w:val="003630DD"/>
    <w:rsid w:val="00363FEE"/>
    <w:rsid w:val="003706B0"/>
    <w:rsid w:val="0037245E"/>
    <w:rsid w:val="003768EF"/>
    <w:rsid w:val="00376FD7"/>
    <w:rsid w:val="00376FE4"/>
    <w:rsid w:val="00377348"/>
    <w:rsid w:val="00380E0C"/>
    <w:rsid w:val="00381DFA"/>
    <w:rsid w:val="003844CB"/>
    <w:rsid w:val="00384889"/>
    <w:rsid w:val="0038502B"/>
    <w:rsid w:val="00385983"/>
    <w:rsid w:val="00385E9A"/>
    <w:rsid w:val="00386A09"/>
    <w:rsid w:val="00390810"/>
    <w:rsid w:val="003959D7"/>
    <w:rsid w:val="003A140D"/>
    <w:rsid w:val="003A16E5"/>
    <w:rsid w:val="003A1A5C"/>
    <w:rsid w:val="003A36CE"/>
    <w:rsid w:val="003A59EE"/>
    <w:rsid w:val="003A629C"/>
    <w:rsid w:val="003A75C9"/>
    <w:rsid w:val="003B07FA"/>
    <w:rsid w:val="003B0836"/>
    <w:rsid w:val="003B118B"/>
    <w:rsid w:val="003B26F0"/>
    <w:rsid w:val="003B2B3B"/>
    <w:rsid w:val="003B2F7E"/>
    <w:rsid w:val="003B7FCC"/>
    <w:rsid w:val="003C19C4"/>
    <w:rsid w:val="003C215E"/>
    <w:rsid w:val="003C21E6"/>
    <w:rsid w:val="003C4FB1"/>
    <w:rsid w:val="003C60E4"/>
    <w:rsid w:val="003C6D93"/>
    <w:rsid w:val="003D054C"/>
    <w:rsid w:val="003D1C4F"/>
    <w:rsid w:val="003D1FAB"/>
    <w:rsid w:val="003D37C1"/>
    <w:rsid w:val="003D3A91"/>
    <w:rsid w:val="003D3EEB"/>
    <w:rsid w:val="003D5064"/>
    <w:rsid w:val="003D5919"/>
    <w:rsid w:val="003D7068"/>
    <w:rsid w:val="003E01C9"/>
    <w:rsid w:val="003E1BCF"/>
    <w:rsid w:val="003E2F82"/>
    <w:rsid w:val="003E2FA1"/>
    <w:rsid w:val="003E4713"/>
    <w:rsid w:val="003E49C0"/>
    <w:rsid w:val="003E49F8"/>
    <w:rsid w:val="003E5612"/>
    <w:rsid w:val="003E5F34"/>
    <w:rsid w:val="003F10C5"/>
    <w:rsid w:val="003F162F"/>
    <w:rsid w:val="003F232E"/>
    <w:rsid w:val="003F448C"/>
    <w:rsid w:val="003F633C"/>
    <w:rsid w:val="003F6D55"/>
    <w:rsid w:val="00400689"/>
    <w:rsid w:val="00401453"/>
    <w:rsid w:val="00402889"/>
    <w:rsid w:val="00402B66"/>
    <w:rsid w:val="004050F4"/>
    <w:rsid w:val="00407A38"/>
    <w:rsid w:val="00410BD4"/>
    <w:rsid w:val="00410EC3"/>
    <w:rsid w:val="004110CC"/>
    <w:rsid w:val="00413C95"/>
    <w:rsid w:val="00413D18"/>
    <w:rsid w:val="004145CB"/>
    <w:rsid w:val="004154E2"/>
    <w:rsid w:val="00416059"/>
    <w:rsid w:val="0042011F"/>
    <w:rsid w:val="00421063"/>
    <w:rsid w:val="00422E58"/>
    <w:rsid w:val="004246D5"/>
    <w:rsid w:val="00426C34"/>
    <w:rsid w:val="00427BEC"/>
    <w:rsid w:val="00430793"/>
    <w:rsid w:val="00431E2B"/>
    <w:rsid w:val="00431FED"/>
    <w:rsid w:val="004322B0"/>
    <w:rsid w:val="004334FC"/>
    <w:rsid w:val="00434D1C"/>
    <w:rsid w:val="00437322"/>
    <w:rsid w:val="004405B6"/>
    <w:rsid w:val="00442356"/>
    <w:rsid w:val="00444607"/>
    <w:rsid w:val="004451D9"/>
    <w:rsid w:val="00447071"/>
    <w:rsid w:val="00447B7D"/>
    <w:rsid w:val="004500E7"/>
    <w:rsid w:val="00450EB1"/>
    <w:rsid w:val="00452930"/>
    <w:rsid w:val="00453949"/>
    <w:rsid w:val="00453F58"/>
    <w:rsid w:val="00455EEA"/>
    <w:rsid w:val="004571BD"/>
    <w:rsid w:val="00460CD6"/>
    <w:rsid w:val="00461792"/>
    <w:rsid w:val="0046201E"/>
    <w:rsid w:val="0046372B"/>
    <w:rsid w:val="00464125"/>
    <w:rsid w:val="00465987"/>
    <w:rsid w:val="00467CF1"/>
    <w:rsid w:val="00471C8F"/>
    <w:rsid w:val="00472054"/>
    <w:rsid w:val="00474024"/>
    <w:rsid w:val="00474B1F"/>
    <w:rsid w:val="00475192"/>
    <w:rsid w:val="0048032F"/>
    <w:rsid w:val="0048062A"/>
    <w:rsid w:val="0048077B"/>
    <w:rsid w:val="00482254"/>
    <w:rsid w:val="00482937"/>
    <w:rsid w:val="004839B4"/>
    <w:rsid w:val="00483E8B"/>
    <w:rsid w:val="004847EA"/>
    <w:rsid w:val="004852E3"/>
    <w:rsid w:val="004873C0"/>
    <w:rsid w:val="00487436"/>
    <w:rsid w:val="004875F2"/>
    <w:rsid w:val="004919D1"/>
    <w:rsid w:val="004919EF"/>
    <w:rsid w:val="00496BE1"/>
    <w:rsid w:val="004A1EDD"/>
    <w:rsid w:val="004A4270"/>
    <w:rsid w:val="004A6039"/>
    <w:rsid w:val="004A6B76"/>
    <w:rsid w:val="004A7933"/>
    <w:rsid w:val="004B106F"/>
    <w:rsid w:val="004B15B2"/>
    <w:rsid w:val="004B294B"/>
    <w:rsid w:val="004B69C2"/>
    <w:rsid w:val="004B76D7"/>
    <w:rsid w:val="004B782C"/>
    <w:rsid w:val="004C0596"/>
    <w:rsid w:val="004C15CD"/>
    <w:rsid w:val="004C41DE"/>
    <w:rsid w:val="004C64C2"/>
    <w:rsid w:val="004C7EB7"/>
    <w:rsid w:val="004D0820"/>
    <w:rsid w:val="004D0F50"/>
    <w:rsid w:val="004D3028"/>
    <w:rsid w:val="004D3CCE"/>
    <w:rsid w:val="004D55E8"/>
    <w:rsid w:val="004E057D"/>
    <w:rsid w:val="004E1B42"/>
    <w:rsid w:val="004E1F36"/>
    <w:rsid w:val="004E1F90"/>
    <w:rsid w:val="004E2A6C"/>
    <w:rsid w:val="004E4098"/>
    <w:rsid w:val="004E4F1A"/>
    <w:rsid w:val="004E5160"/>
    <w:rsid w:val="004E5579"/>
    <w:rsid w:val="004F2FE5"/>
    <w:rsid w:val="004F353A"/>
    <w:rsid w:val="004F5535"/>
    <w:rsid w:val="004F71D8"/>
    <w:rsid w:val="004F7795"/>
    <w:rsid w:val="00501143"/>
    <w:rsid w:val="00503AAF"/>
    <w:rsid w:val="00504538"/>
    <w:rsid w:val="005052EA"/>
    <w:rsid w:val="00505A1F"/>
    <w:rsid w:val="005061D2"/>
    <w:rsid w:val="005070C1"/>
    <w:rsid w:val="0051057C"/>
    <w:rsid w:val="005107DB"/>
    <w:rsid w:val="00512B57"/>
    <w:rsid w:val="005133EB"/>
    <w:rsid w:val="00513609"/>
    <w:rsid w:val="00515CEA"/>
    <w:rsid w:val="00517BAD"/>
    <w:rsid w:val="00522618"/>
    <w:rsid w:val="005240E5"/>
    <w:rsid w:val="00524C81"/>
    <w:rsid w:val="0052673F"/>
    <w:rsid w:val="005307E9"/>
    <w:rsid w:val="00531172"/>
    <w:rsid w:val="0053476D"/>
    <w:rsid w:val="00535F1C"/>
    <w:rsid w:val="0053742D"/>
    <w:rsid w:val="0054038E"/>
    <w:rsid w:val="005460CB"/>
    <w:rsid w:val="005465D2"/>
    <w:rsid w:val="005468B9"/>
    <w:rsid w:val="005540FB"/>
    <w:rsid w:val="005561A1"/>
    <w:rsid w:val="00556391"/>
    <w:rsid w:val="00556727"/>
    <w:rsid w:val="005567FC"/>
    <w:rsid w:val="005572D8"/>
    <w:rsid w:val="00560831"/>
    <w:rsid w:val="00560A52"/>
    <w:rsid w:val="0056194C"/>
    <w:rsid w:val="00563D4F"/>
    <w:rsid w:val="00564983"/>
    <w:rsid w:val="00564AC2"/>
    <w:rsid w:val="005665D4"/>
    <w:rsid w:val="005676CA"/>
    <w:rsid w:val="00570C5E"/>
    <w:rsid w:val="00572AB3"/>
    <w:rsid w:val="005738A7"/>
    <w:rsid w:val="00574A63"/>
    <w:rsid w:val="005756CC"/>
    <w:rsid w:val="00576F5E"/>
    <w:rsid w:val="00581FA6"/>
    <w:rsid w:val="00583615"/>
    <w:rsid w:val="00584521"/>
    <w:rsid w:val="00584FBE"/>
    <w:rsid w:val="00586BB0"/>
    <w:rsid w:val="00590390"/>
    <w:rsid w:val="00590D1D"/>
    <w:rsid w:val="00591394"/>
    <w:rsid w:val="00593923"/>
    <w:rsid w:val="00594B58"/>
    <w:rsid w:val="00596478"/>
    <w:rsid w:val="00596F3D"/>
    <w:rsid w:val="005A22EB"/>
    <w:rsid w:val="005A28BB"/>
    <w:rsid w:val="005A2FDC"/>
    <w:rsid w:val="005A300B"/>
    <w:rsid w:val="005A4442"/>
    <w:rsid w:val="005A4E48"/>
    <w:rsid w:val="005B003E"/>
    <w:rsid w:val="005B13F4"/>
    <w:rsid w:val="005B2E38"/>
    <w:rsid w:val="005B4552"/>
    <w:rsid w:val="005B5D03"/>
    <w:rsid w:val="005C0459"/>
    <w:rsid w:val="005C159D"/>
    <w:rsid w:val="005C270E"/>
    <w:rsid w:val="005C41CE"/>
    <w:rsid w:val="005C550D"/>
    <w:rsid w:val="005C6279"/>
    <w:rsid w:val="005C6D85"/>
    <w:rsid w:val="005C7097"/>
    <w:rsid w:val="005C7881"/>
    <w:rsid w:val="005D014A"/>
    <w:rsid w:val="005D3990"/>
    <w:rsid w:val="005D5C2E"/>
    <w:rsid w:val="005E035C"/>
    <w:rsid w:val="005E33BB"/>
    <w:rsid w:val="005E6BCD"/>
    <w:rsid w:val="005E7B15"/>
    <w:rsid w:val="005F1AB7"/>
    <w:rsid w:val="005F20A8"/>
    <w:rsid w:val="005F36BF"/>
    <w:rsid w:val="005F522D"/>
    <w:rsid w:val="00600433"/>
    <w:rsid w:val="00601423"/>
    <w:rsid w:val="006017D3"/>
    <w:rsid w:val="00604521"/>
    <w:rsid w:val="006057D2"/>
    <w:rsid w:val="0060671B"/>
    <w:rsid w:val="00606C2E"/>
    <w:rsid w:val="00610336"/>
    <w:rsid w:val="006121A8"/>
    <w:rsid w:val="006146AB"/>
    <w:rsid w:val="0061567E"/>
    <w:rsid w:val="00617160"/>
    <w:rsid w:val="00617722"/>
    <w:rsid w:val="00620118"/>
    <w:rsid w:val="0062062D"/>
    <w:rsid w:val="006209C4"/>
    <w:rsid w:val="0062269D"/>
    <w:rsid w:val="006229F5"/>
    <w:rsid w:val="006248DC"/>
    <w:rsid w:val="00625666"/>
    <w:rsid w:val="006265B5"/>
    <w:rsid w:val="00633B95"/>
    <w:rsid w:val="006346C3"/>
    <w:rsid w:val="006362A7"/>
    <w:rsid w:val="00636DD7"/>
    <w:rsid w:val="006414DD"/>
    <w:rsid w:val="00641621"/>
    <w:rsid w:val="0064175C"/>
    <w:rsid w:val="0064556B"/>
    <w:rsid w:val="00645C3D"/>
    <w:rsid w:val="00651E45"/>
    <w:rsid w:val="006549B0"/>
    <w:rsid w:val="00655868"/>
    <w:rsid w:val="00655FEB"/>
    <w:rsid w:val="00656355"/>
    <w:rsid w:val="0065655A"/>
    <w:rsid w:val="00657A23"/>
    <w:rsid w:val="00660D24"/>
    <w:rsid w:val="00662AF6"/>
    <w:rsid w:val="00663C42"/>
    <w:rsid w:val="00664565"/>
    <w:rsid w:val="0066470A"/>
    <w:rsid w:val="00665695"/>
    <w:rsid w:val="0066570E"/>
    <w:rsid w:val="0066648A"/>
    <w:rsid w:val="0067080A"/>
    <w:rsid w:val="00672208"/>
    <w:rsid w:val="00672779"/>
    <w:rsid w:val="0067283C"/>
    <w:rsid w:val="006746D3"/>
    <w:rsid w:val="00676B8B"/>
    <w:rsid w:val="006771F9"/>
    <w:rsid w:val="00677B5D"/>
    <w:rsid w:val="006803F0"/>
    <w:rsid w:val="00680AF1"/>
    <w:rsid w:val="00681B67"/>
    <w:rsid w:val="00683447"/>
    <w:rsid w:val="00685453"/>
    <w:rsid w:val="00686846"/>
    <w:rsid w:val="00693CA1"/>
    <w:rsid w:val="00694D7E"/>
    <w:rsid w:val="006964AC"/>
    <w:rsid w:val="006A02DE"/>
    <w:rsid w:val="006A03E6"/>
    <w:rsid w:val="006A1730"/>
    <w:rsid w:val="006A19F9"/>
    <w:rsid w:val="006A27BE"/>
    <w:rsid w:val="006A3A69"/>
    <w:rsid w:val="006A479C"/>
    <w:rsid w:val="006A6EAB"/>
    <w:rsid w:val="006A7646"/>
    <w:rsid w:val="006B32AE"/>
    <w:rsid w:val="006B5145"/>
    <w:rsid w:val="006B5D9F"/>
    <w:rsid w:val="006B75FC"/>
    <w:rsid w:val="006B7D54"/>
    <w:rsid w:val="006C3549"/>
    <w:rsid w:val="006C5A14"/>
    <w:rsid w:val="006C726E"/>
    <w:rsid w:val="006C72E6"/>
    <w:rsid w:val="006C7806"/>
    <w:rsid w:val="006C7CAE"/>
    <w:rsid w:val="006D274F"/>
    <w:rsid w:val="006D35EC"/>
    <w:rsid w:val="006E3B8A"/>
    <w:rsid w:val="006E3BA0"/>
    <w:rsid w:val="006E696F"/>
    <w:rsid w:val="006F0245"/>
    <w:rsid w:val="006F0536"/>
    <w:rsid w:val="006F1C13"/>
    <w:rsid w:val="006F2C68"/>
    <w:rsid w:val="006F347C"/>
    <w:rsid w:val="00701317"/>
    <w:rsid w:val="00701E08"/>
    <w:rsid w:val="00702825"/>
    <w:rsid w:val="00705A1B"/>
    <w:rsid w:val="00712CB7"/>
    <w:rsid w:val="007144A5"/>
    <w:rsid w:val="0071622A"/>
    <w:rsid w:val="007202FF"/>
    <w:rsid w:val="00721479"/>
    <w:rsid w:val="00721EE2"/>
    <w:rsid w:val="00722DD2"/>
    <w:rsid w:val="00723D19"/>
    <w:rsid w:val="00725251"/>
    <w:rsid w:val="00726627"/>
    <w:rsid w:val="00727D19"/>
    <w:rsid w:val="00727E2E"/>
    <w:rsid w:val="00730435"/>
    <w:rsid w:val="007309A1"/>
    <w:rsid w:val="00730B07"/>
    <w:rsid w:val="00731C94"/>
    <w:rsid w:val="00735A40"/>
    <w:rsid w:val="0073724F"/>
    <w:rsid w:val="00740360"/>
    <w:rsid w:val="00741CC7"/>
    <w:rsid w:val="0074631B"/>
    <w:rsid w:val="007468A3"/>
    <w:rsid w:val="00747875"/>
    <w:rsid w:val="0075081E"/>
    <w:rsid w:val="00754C33"/>
    <w:rsid w:val="007562AA"/>
    <w:rsid w:val="007570BF"/>
    <w:rsid w:val="00760C09"/>
    <w:rsid w:val="00760E5D"/>
    <w:rsid w:val="00761214"/>
    <w:rsid w:val="0076423D"/>
    <w:rsid w:val="0076502B"/>
    <w:rsid w:val="00766310"/>
    <w:rsid w:val="00771468"/>
    <w:rsid w:val="007714A2"/>
    <w:rsid w:val="0077431D"/>
    <w:rsid w:val="00775066"/>
    <w:rsid w:val="00777890"/>
    <w:rsid w:val="007818BC"/>
    <w:rsid w:val="00793735"/>
    <w:rsid w:val="0079388A"/>
    <w:rsid w:val="00794096"/>
    <w:rsid w:val="00794615"/>
    <w:rsid w:val="007A03A2"/>
    <w:rsid w:val="007A0F86"/>
    <w:rsid w:val="007A102E"/>
    <w:rsid w:val="007A27D5"/>
    <w:rsid w:val="007A2B58"/>
    <w:rsid w:val="007A2DEF"/>
    <w:rsid w:val="007A36D9"/>
    <w:rsid w:val="007A4DB3"/>
    <w:rsid w:val="007A5B3F"/>
    <w:rsid w:val="007A5B94"/>
    <w:rsid w:val="007B5949"/>
    <w:rsid w:val="007B5DEE"/>
    <w:rsid w:val="007C22C8"/>
    <w:rsid w:val="007C270A"/>
    <w:rsid w:val="007C3052"/>
    <w:rsid w:val="007C43DE"/>
    <w:rsid w:val="007C4F8A"/>
    <w:rsid w:val="007D1B7B"/>
    <w:rsid w:val="007D295C"/>
    <w:rsid w:val="007D2C97"/>
    <w:rsid w:val="007D5C88"/>
    <w:rsid w:val="007D778A"/>
    <w:rsid w:val="007E059E"/>
    <w:rsid w:val="007E390B"/>
    <w:rsid w:val="007E3914"/>
    <w:rsid w:val="007E3DD0"/>
    <w:rsid w:val="007E50B9"/>
    <w:rsid w:val="007E5A34"/>
    <w:rsid w:val="007F0C99"/>
    <w:rsid w:val="007F0D35"/>
    <w:rsid w:val="007F1709"/>
    <w:rsid w:val="007F1D94"/>
    <w:rsid w:val="007F26C3"/>
    <w:rsid w:val="007F2B60"/>
    <w:rsid w:val="007F3105"/>
    <w:rsid w:val="007F3832"/>
    <w:rsid w:val="007F4EBC"/>
    <w:rsid w:val="007F5D1C"/>
    <w:rsid w:val="007F6594"/>
    <w:rsid w:val="007F759B"/>
    <w:rsid w:val="00800B1B"/>
    <w:rsid w:val="008065F0"/>
    <w:rsid w:val="00807F6B"/>
    <w:rsid w:val="00812115"/>
    <w:rsid w:val="00812993"/>
    <w:rsid w:val="008129CF"/>
    <w:rsid w:val="00813501"/>
    <w:rsid w:val="00813ADD"/>
    <w:rsid w:val="00814A73"/>
    <w:rsid w:val="00816A66"/>
    <w:rsid w:val="00816C62"/>
    <w:rsid w:val="0082147E"/>
    <w:rsid w:val="00821AA6"/>
    <w:rsid w:val="008254DD"/>
    <w:rsid w:val="00834838"/>
    <w:rsid w:val="00834C88"/>
    <w:rsid w:val="00840DB9"/>
    <w:rsid w:val="0084151D"/>
    <w:rsid w:val="00842CA0"/>
    <w:rsid w:val="008447DC"/>
    <w:rsid w:val="00845FB5"/>
    <w:rsid w:val="008470A6"/>
    <w:rsid w:val="00850D68"/>
    <w:rsid w:val="008557EF"/>
    <w:rsid w:val="00855814"/>
    <w:rsid w:val="00856ED4"/>
    <w:rsid w:val="0086012B"/>
    <w:rsid w:val="00860DA7"/>
    <w:rsid w:val="00862D26"/>
    <w:rsid w:val="00864668"/>
    <w:rsid w:val="00865CEB"/>
    <w:rsid w:val="00866A51"/>
    <w:rsid w:val="00866E60"/>
    <w:rsid w:val="00867D6D"/>
    <w:rsid w:val="008707B9"/>
    <w:rsid w:val="00872A79"/>
    <w:rsid w:val="008745A9"/>
    <w:rsid w:val="00877B2A"/>
    <w:rsid w:val="00880BF4"/>
    <w:rsid w:val="0088670E"/>
    <w:rsid w:val="00886A48"/>
    <w:rsid w:val="008872E6"/>
    <w:rsid w:val="0088746E"/>
    <w:rsid w:val="008939DD"/>
    <w:rsid w:val="0089515D"/>
    <w:rsid w:val="00897D65"/>
    <w:rsid w:val="008A008E"/>
    <w:rsid w:val="008A44B3"/>
    <w:rsid w:val="008A5984"/>
    <w:rsid w:val="008A73C0"/>
    <w:rsid w:val="008B1F2C"/>
    <w:rsid w:val="008B21A7"/>
    <w:rsid w:val="008B472F"/>
    <w:rsid w:val="008B5D93"/>
    <w:rsid w:val="008B6BC6"/>
    <w:rsid w:val="008C1839"/>
    <w:rsid w:val="008C3136"/>
    <w:rsid w:val="008C3337"/>
    <w:rsid w:val="008C35C3"/>
    <w:rsid w:val="008C4E4D"/>
    <w:rsid w:val="008C6D5D"/>
    <w:rsid w:val="008C7C65"/>
    <w:rsid w:val="008D0063"/>
    <w:rsid w:val="008D1211"/>
    <w:rsid w:val="008D2DF0"/>
    <w:rsid w:val="008D358A"/>
    <w:rsid w:val="008D3700"/>
    <w:rsid w:val="008E0C96"/>
    <w:rsid w:val="008E0CAE"/>
    <w:rsid w:val="008E2D27"/>
    <w:rsid w:val="008E2E5E"/>
    <w:rsid w:val="008E6B7A"/>
    <w:rsid w:val="008E6BB1"/>
    <w:rsid w:val="008E72B7"/>
    <w:rsid w:val="008E7F42"/>
    <w:rsid w:val="008F14DD"/>
    <w:rsid w:val="008F3320"/>
    <w:rsid w:val="008F3C48"/>
    <w:rsid w:val="008F6028"/>
    <w:rsid w:val="008F7FB8"/>
    <w:rsid w:val="00900C17"/>
    <w:rsid w:val="00904331"/>
    <w:rsid w:val="00905BE5"/>
    <w:rsid w:val="00906223"/>
    <w:rsid w:val="00910B0D"/>
    <w:rsid w:val="00910CA7"/>
    <w:rsid w:val="0091151C"/>
    <w:rsid w:val="00911729"/>
    <w:rsid w:val="0091428F"/>
    <w:rsid w:val="009155FD"/>
    <w:rsid w:val="009159B1"/>
    <w:rsid w:val="0092284A"/>
    <w:rsid w:val="00922B92"/>
    <w:rsid w:val="00922FF0"/>
    <w:rsid w:val="00923806"/>
    <w:rsid w:val="0092619C"/>
    <w:rsid w:val="009308CE"/>
    <w:rsid w:val="0093145E"/>
    <w:rsid w:val="00931D23"/>
    <w:rsid w:val="00934051"/>
    <w:rsid w:val="009342E5"/>
    <w:rsid w:val="00934FCB"/>
    <w:rsid w:val="009372FA"/>
    <w:rsid w:val="00941288"/>
    <w:rsid w:val="009414B2"/>
    <w:rsid w:val="009418E8"/>
    <w:rsid w:val="0094267F"/>
    <w:rsid w:val="009432DD"/>
    <w:rsid w:val="009444A0"/>
    <w:rsid w:val="00944ABB"/>
    <w:rsid w:val="00945868"/>
    <w:rsid w:val="00945D67"/>
    <w:rsid w:val="0094604C"/>
    <w:rsid w:val="00946166"/>
    <w:rsid w:val="00946F00"/>
    <w:rsid w:val="009515EA"/>
    <w:rsid w:val="00952C32"/>
    <w:rsid w:val="009574A1"/>
    <w:rsid w:val="0096079B"/>
    <w:rsid w:val="00960ED9"/>
    <w:rsid w:val="00961DAC"/>
    <w:rsid w:val="00962F6A"/>
    <w:rsid w:val="00963B6E"/>
    <w:rsid w:val="00964A46"/>
    <w:rsid w:val="009653AB"/>
    <w:rsid w:val="0096577C"/>
    <w:rsid w:val="00965E01"/>
    <w:rsid w:val="0096640C"/>
    <w:rsid w:val="0096734F"/>
    <w:rsid w:val="009707B3"/>
    <w:rsid w:val="00970BB8"/>
    <w:rsid w:val="00971EA0"/>
    <w:rsid w:val="00972614"/>
    <w:rsid w:val="00973297"/>
    <w:rsid w:val="0097650F"/>
    <w:rsid w:val="00977434"/>
    <w:rsid w:val="00981AB3"/>
    <w:rsid w:val="0098531D"/>
    <w:rsid w:val="00986884"/>
    <w:rsid w:val="009871B0"/>
    <w:rsid w:val="0099320C"/>
    <w:rsid w:val="009958D9"/>
    <w:rsid w:val="009A0406"/>
    <w:rsid w:val="009A22CD"/>
    <w:rsid w:val="009A286C"/>
    <w:rsid w:val="009A439B"/>
    <w:rsid w:val="009A587A"/>
    <w:rsid w:val="009A67A2"/>
    <w:rsid w:val="009A76D6"/>
    <w:rsid w:val="009A7DBB"/>
    <w:rsid w:val="009B0171"/>
    <w:rsid w:val="009B11E7"/>
    <w:rsid w:val="009B294F"/>
    <w:rsid w:val="009B6065"/>
    <w:rsid w:val="009B71BF"/>
    <w:rsid w:val="009C1C20"/>
    <w:rsid w:val="009C2525"/>
    <w:rsid w:val="009C3064"/>
    <w:rsid w:val="009C4CDC"/>
    <w:rsid w:val="009D0098"/>
    <w:rsid w:val="009D1A41"/>
    <w:rsid w:val="009D4250"/>
    <w:rsid w:val="009D470A"/>
    <w:rsid w:val="009D78C9"/>
    <w:rsid w:val="009E29BD"/>
    <w:rsid w:val="009E632D"/>
    <w:rsid w:val="009F0642"/>
    <w:rsid w:val="009F11BF"/>
    <w:rsid w:val="009F142F"/>
    <w:rsid w:val="009F31DB"/>
    <w:rsid w:val="009F4AA3"/>
    <w:rsid w:val="009F52D5"/>
    <w:rsid w:val="009F6473"/>
    <w:rsid w:val="009F66DA"/>
    <w:rsid w:val="009F6F63"/>
    <w:rsid w:val="00A00105"/>
    <w:rsid w:val="00A009D4"/>
    <w:rsid w:val="00A011F1"/>
    <w:rsid w:val="00A02122"/>
    <w:rsid w:val="00A02208"/>
    <w:rsid w:val="00A04FF3"/>
    <w:rsid w:val="00A057B8"/>
    <w:rsid w:val="00A06026"/>
    <w:rsid w:val="00A06860"/>
    <w:rsid w:val="00A06DA4"/>
    <w:rsid w:val="00A1163F"/>
    <w:rsid w:val="00A1256C"/>
    <w:rsid w:val="00A12B24"/>
    <w:rsid w:val="00A15147"/>
    <w:rsid w:val="00A159CC"/>
    <w:rsid w:val="00A23C54"/>
    <w:rsid w:val="00A250C7"/>
    <w:rsid w:val="00A25D40"/>
    <w:rsid w:val="00A32F67"/>
    <w:rsid w:val="00A33646"/>
    <w:rsid w:val="00A33FA1"/>
    <w:rsid w:val="00A34CA5"/>
    <w:rsid w:val="00A34EDD"/>
    <w:rsid w:val="00A3612E"/>
    <w:rsid w:val="00A37C1C"/>
    <w:rsid w:val="00A413C8"/>
    <w:rsid w:val="00A416B1"/>
    <w:rsid w:val="00A468B2"/>
    <w:rsid w:val="00A471E8"/>
    <w:rsid w:val="00A50016"/>
    <w:rsid w:val="00A50BA7"/>
    <w:rsid w:val="00A53CC7"/>
    <w:rsid w:val="00A6135D"/>
    <w:rsid w:val="00A616AB"/>
    <w:rsid w:val="00A61A35"/>
    <w:rsid w:val="00A61DE6"/>
    <w:rsid w:val="00A6373B"/>
    <w:rsid w:val="00A64A11"/>
    <w:rsid w:val="00A6513C"/>
    <w:rsid w:val="00A6550F"/>
    <w:rsid w:val="00A662A8"/>
    <w:rsid w:val="00A72630"/>
    <w:rsid w:val="00A76B34"/>
    <w:rsid w:val="00A76CAE"/>
    <w:rsid w:val="00A800FC"/>
    <w:rsid w:val="00A83A69"/>
    <w:rsid w:val="00A86270"/>
    <w:rsid w:val="00A903FD"/>
    <w:rsid w:val="00A919A2"/>
    <w:rsid w:val="00A94E62"/>
    <w:rsid w:val="00A95107"/>
    <w:rsid w:val="00A9557B"/>
    <w:rsid w:val="00A96359"/>
    <w:rsid w:val="00A970DB"/>
    <w:rsid w:val="00A97464"/>
    <w:rsid w:val="00AA00F6"/>
    <w:rsid w:val="00AA11DC"/>
    <w:rsid w:val="00AA3B87"/>
    <w:rsid w:val="00AA530C"/>
    <w:rsid w:val="00AA559B"/>
    <w:rsid w:val="00AB05A2"/>
    <w:rsid w:val="00AB142F"/>
    <w:rsid w:val="00AB162D"/>
    <w:rsid w:val="00AB22D8"/>
    <w:rsid w:val="00AB5DED"/>
    <w:rsid w:val="00AB5FD1"/>
    <w:rsid w:val="00AB6CA3"/>
    <w:rsid w:val="00AC26BE"/>
    <w:rsid w:val="00AC5175"/>
    <w:rsid w:val="00AC5FD3"/>
    <w:rsid w:val="00AC7D95"/>
    <w:rsid w:val="00AD0899"/>
    <w:rsid w:val="00AD17EC"/>
    <w:rsid w:val="00AD2512"/>
    <w:rsid w:val="00AD3B7F"/>
    <w:rsid w:val="00AD71C2"/>
    <w:rsid w:val="00AD7DBE"/>
    <w:rsid w:val="00AE28E1"/>
    <w:rsid w:val="00AE41EA"/>
    <w:rsid w:val="00AE582E"/>
    <w:rsid w:val="00AE6AB5"/>
    <w:rsid w:val="00AE7C5D"/>
    <w:rsid w:val="00AF0049"/>
    <w:rsid w:val="00AF3813"/>
    <w:rsid w:val="00AF3A92"/>
    <w:rsid w:val="00AF44A6"/>
    <w:rsid w:val="00AF6F84"/>
    <w:rsid w:val="00B0023E"/>
    <w:rsid w:val="00B00AB5"/>
    <w:rsid w:val="00B00F2B"/>
    <w:rsid w:val="00B03A77"/>
    <w:rsid w:val="00B10243"/>
    <w:rsid w:val="00B14830"/>
    <w:rsid w:val="00B163E3"/>
    <w:rsid w:val="00B16704"/>
    <w:rsid w:val="00B16EEC"/>
    <w:rsid w:val="00B17363"/>
    <w:rsid w:val="00B20DCF"/>
    <w:rsid w:val="00B221C6"/>
    <w:rsid w:val="00B23A73"/>
    <w:rsid w:val="00B23B95"/>
    <w:rsid w:val="00B308BA"/>
    <w:rsid w:val="00B31AA8"/>
    <w:rsid w:val="00B33B3C"/>
    <w:rsid w:val="00B349C1"/>
    <w:rsid w:val="00B34A0F"/>
    <w:rsid w:val="00B34CB5"/>
    <w:rsid w:val="00B36FEA"/>
    <w:rsid w:val="00B37B7B"/>
    <w:rsid w:val="00B40AC2"/>
    <w:rsid w:val="00B4153F"/>
    <w:rsid w:val="00B41E15"/>
    <w:rsid w:val="00B4669F"/>
    <w:rsid w:val="00B46EEA"/>
    <w:rsid w:val="00B523F7"/>
    <w:rsid w:val="00B53F24"/>
    <w:rsid w:val="00B54AC1"/>
    <w:rsid w:val="00B56502"/>
    <w:rsid w:val="00B569A7"/>
    <w:rsid w:val="00B6032A"/>
    <w:rsid w:val="00B612FE"/>
    <w:rsid w:val="00B62940"/>
    <w:rsid w:val="00B62A58"/>
    <w:rsid w:val="00B6476C"/>
    <w:rsid w:val="00B6759A"/>
    <w:rsid w:val="00B71D3F"/>
    <w:rsid w:val="00B7556C"/>
    <w:rsid w:val="00B8351B"/>
    <w:rsid w:val="00B84AC0"/>
    <w:rsid w:val="00B86924"/>
    <w:rsid w:val="00B873D3"/>
    <w:rsid w:val="00B90131"/>
    <w:rsid w:val="00B94112"/>
    <w:rsid w:val="00B971E3"/>
    <w:rsid w:val="00B973CC"/>
    <w:rsid w:val="00BA2519"/>
    <w:rsid w:val="00BA3EC5"/>
    <w:rsid w:val="00BA4AB5"/>
    <w:rsid w:val="00BA765D"/>
    <w:rsid w:val="00BB0680"/>
    <w:rsid w:val="00BB10F7"/>
    <w:rsid w:val="00BB1554"/>
    <w:rsid w:val="00BB34C1"/>
    <w:rsid w:val="00BB7DD4"/>
    <w:rsid w:val="00BC0869"/>
    <w:rsid w:val="00BC224D"/>
    <w:rsid w:val="00BC27B6"/>
    <w:rsid w:val="00BC4D76"/>
    <w:rsid w:val="00BC697A"/>
    <w:rsid w:val="00BC6ADA"/>
    <w:rsid w:val="00BD00D2"/>
    <w:rsid w:val="00BD076E"/>
    <w:rsid w:val="00BD3953"/>
    <w:rsid w:val="00BD41D0"/>
    <w:rsid w:val="00BD6A91"/>
    <w:rsid w:val="00BE13D1"/>
    <w:rsid w:val="00BE17D6"/>
    <w:rsid w:val="00BE32A3"/>
    <w:rsid w:val="00BE3861"/>
    <w:rsid w:val="00BE3D96"/>
    <w:rsid w:val="00BE3F9F"/>
    <w:rsid w:val="00BE42F9"/>
    <w:rsid w:val="00BE583A"/>
    <w:rsid w:val="00BF03A9"/>
    <w:rsid w:val="00BF1ECD"/>
    <w:rsid w:val="00BF511B"/>
    <w:rsid w:val="00C017E1"/>
    <w:rsid w:val="00C04038"/>
    <w:rsid w:val="00C051A9"/>
    <w:rsid w:val="00C06B43"/>
    <w:rsid w:val="00C07EBB"/>
    <w:rsid w:val="00C165E2"/>
    <w:rsid w:val="00C16FF7"/>
    <w:rsid w:val="00C172D6"/>
    <w:rsid w:val="00C17DA7"/>
    <w:rsid w:val="00C2172A"/>
    <w:rsid w:val="00C22016"/>
    <w:rsid w:val="00C227C7"/>
    <w:rsid w:val="00C23005"/>
    <w:rsid w:val="00C2544D"/>
    <w:rsid w:val="00C25590"/>
    <w:rsid w:val="00C3189E"/>
    <w:rsid w:val="00C32DCE"/>
    <w:rsid w:val="00C37327"/>
    <w:rsid w:val="00C41EA0"/>
    <w:rsid w:val="00C42EA2"/>
    <w:rsid w:val="00C51251"/>
    <w:rsid w:val="00C535ED"/>
    <w:rsid w:val="00C539B1"/>
    <w:rsid w:val="00C57B6B"/>
    <w:rsid w:val="00C6470D"/>
    <w:rsid w:val="00C71C9D"/>
    <w:rsid w:val="00C72EE6"/>
    <w:rsid w:val="00C769D3"/>
    <w:rsid w:val="00C81BE9"/>
    <w:rsid w:val="00C84A10"/>
    <w:rsid w:val="00C84B6D"/>
    <w:rsid w:val="00C86DEB"/>
    <w:rsid w:val="00C872CC"/>
    <w:rsid w:val="00C90B6E"/>
    <w:rsid w:val="00C914E0"/>
    <w:rsid w:val="00C92259"/>
    <w:rsid w:val="00C95256"/>
    <w:rsid w:val="00C95F68"/>
    <w:rsid w:val="00C978EB"/>
    <w:rsid w:val="00C97F49"/>
    <w:rsid w:val="00C97FEB"/>
    <w:rsid w:val="00CA26B2"/>
    <w:rsid w:val="00CA2D08"/>
    <w:rsid w:val="00CA337C"/>
    <w:rsid w:val="00CA663D"/>
    <w:rsid w:val="00CA68A8"/>
    <w:rsid w:val="00CB1CDB"/>
    <w:rsid w:val="00CB3ABD"/>
    <w:rsid w:val="00CB5A76"/>
    <w:rsid w:val="00CB5F9A"/>
    <w:rsid w:val="00CC15E9"/>
    <w:rsid w:val="00CC20DE"/>
    <w:rsid w:val="00CC73AC"/>
    <w:rsid w:val="00CC776A"/>
    <w:rsid w:val="00CD1739"/>
    <w:rsid w:val="00CD2AC7"/>
    <w:rsid w:val="00CD2DAF"/>
    <w:rsid w:val="00CD331A"/>
    <w:rsid w:val="00CD3805"/>
    <w:rsid w:val="00CD6289"/>
    <w:rsid w:val="00CE3146"/>
    <w:rsid w:val="00CE4150"/>
    <w:rsid w:val="00CE5F75"/>
    <w:rsid w:val="00CE6400"/>
    <w:rsid w:val="00CF4997"/>
    <w:rsid w:val="00CF5461"/>
    <w:rsid w:val="00D0087F"/>
    <w:rsid w:val="00D0191F"/>
    <w:rsid w:val="00D01A6A"/>
    <w:rsid w:val="00D05594"/>
    <w:rsid w:val="00D061DE"/>
    <w:rsid w:val="00D06F6A"/>
    <w:rsid w:val="00D10957"/>
    <w:rsid w:val="00D1120B"/>
    <w:rsid w:val="00D12281"/>
    <w:rsid w:val="00D203DC"/>
    <w:rsid w:val="00D2105A"/>
    <w:rsid w:val="00D21436"/>
    <w:rsid w:val="00D23894"/>
    <w:rsid w:val="00D23C82"/>
    <w:rsid w:val="00D24734"/>
    <w:rsid w:val="00D24976"/>
    <w:rsid w:val="00D257CA"/>
    <w:rsid w:val="00D267F2"/>
    <w:rsid w:val="00D276D2"/>
    <w:rsid w:val="00D35004"/>
    <w:rsid w:val="00D3524C"/>
    <w:rsid w:val="00D37F40"/>
    <w:rsid w:val="00D41798"/>
    <w:rsid w:val="00D42830"/>
    <w:rsid w:val="00D43E02"/>
    <w:rsid w:val="00D45CAE"/>
    <w:rsid w:val="00D536A9"/>
    <w:rsid w:val="00D53AAB"/>
    <w:rsid w:val="00D53EAC"/>
    <w:rsid w:val="00D54D3D"/>
    <w:rsid w:val="00D54EF8"/>
    <w:rsid w:val="00D56460"/>
    <w:rsid w:val="00D6070E"/>
    <w:rsid w:val="00D60BB4"/>
    <w:rsid w:val="00D63D21"/>
    <w:rsid w:val="00D63F77"/>
    <w:rsid w:val="00D66A33"/>
    <w:rsid w:val="00D70BFC"/>
    <w:rsid w:val="00D7369B"/>
    <w:rsid w:val="00D74FFE"/>
    <w:rsid w:val="00D77A36"/>
    <w:rsid w:val="00D81B15"/>
    <w:rsid w:val="00D8207C"/>
    <w:rsid w:val="00D84433"/>
    <w:rsid w:val="00D84D22"/>
    <w:rsid w:val="00D851CB"/>
    <w:rsid w:val="00D85A9A"/>
    <w:rsid w:val="00D863E0"/>
    <w:rsid w:val="00D8680A"/>
    <w:rsid w:val="00D8716A"/>
    <w:rsid w:val="00D94683"/>
    <w:rsid w:val="00D947DE"/>
    <w:rsid w:val="00D94D8B"/>
    <w:rsid w:val="00D958C4"/>
    <w:rsid w:val="00D95D2B"/>
    <w:rsid w:val="00D967F2"/>
    <w:rsid w:val="00D96C06"/>
    <w:rsid w:val="00D97F76"/>
    <w:rsid w:val="00DA04EE"/>
    <w:rsid w:val="00DA0943"/>
    <w:rsid w:val="00DA11E0"/>
    <w:rsid w:val="00DA2883"/>
    <w:rsid w:val="00DA310A"/>
    <w:rsid w:val="00DA39F9"/>
    <w:rsid w:val="00DA6522"/>
    <w:rsid w:val="00DB1857"/>
    <w:rsid w:val="00DB23DB"/>
    <w:rsid w:val="00DB3274"/>
    <w:rsid w:val="00DB39D2"/>
    <w:rsid w:val="00DB70F5"/>
    <w:rsid w:val="00DC1846"/>
    <w:rsid w:val="00DC1C51"/>
    <w:rsid w:val="00DC2548"/>
    <w:rsid w:val="00DC682E"/>
    <w:rsid w:val="00DD141C"/>
    <w:rsid w:val="00DD1952"/>
    <w:rsid w:val="00DD3631"/>
    <w:rsid w:val="00DD4AF4"/>
    <w:rsid w:val="00DD6F26"/>
    <w:rsid w:val="00DD7B00"/>
    <w:rsid w:val="00DE06EE"/>
    <w:rsid w:val="00DE2C5E"/>
    <w:rsid w:val="00DE3995"/>
    <w:rsid w:val="00DE5D26"/>
    <w:rsid w:val="00DE5E39"/>
    <w:rsid w:val="00DE6709"/>
    <w:rsid w:val="00DE752E"/>
    <w:rsid w:val="00DF0971"/>
    <w:rsid w:val="00DF1466"/>
    <w:rsid w:val="00DF26A2"/>
    <w:rsid w:val="00DF2945"/>
    <w:rsid w:val="00DF2D06"/>
    <w:rsid w:val="00DF2D2F"/>
    <w:rsid w:val="00DF434E"/>
    <w:rsid w:val="00DF437A"/>
    <w:rsid w:val="00DF4561"/>
    <w:rsid w:val="00DF537F"/>
    <w:rsid w:val="00DF67E5"/>
    <w:rsid w:val="00DF7FF7"/>
    <w:rsid w:val="00E03A03"/>
    <w:rsid w:val="00E07512"/>
    <w:rsid w:val="00E11FB4"/>
    <w:rsid w:val="00E145B4"/>
    <w:rsid w:val="00E2061F"/>
    <w:rsid w:val="00E2308F"/>
    <w:rsid w:val="00E23571"/>
    <w:rsid w:val="00E2485E"/>
    <w:rsid w:val="00E24F17"/>
    <w:rsid w:val="00E30BC9"/>
    <w:rsid w:val="00E32146"/>
    <w:rsid w:val="00E32F65"/>
    <w:rsid w:val="00E337FE"/>
    <w:rsid w:val="00E338DD"/>
    <w:rsid w:val="00E33E14"/>
    <w:rsid w:val="00E34799"/>
    <w:rsid w:val="00E3555B"/>
    <w:rsid w:val="00E400F5"/>
    <w:rsid w:val="00E410F1"/>
    <w:rsid w:val="00E41967"/>
    <w:rsid w:val="00E46BAD"/>
    <w:rsid w:val="00E47AF4"/>
    <w:rsid w:val="00E51DF5"/>
    <w:rsid w:val="00E5251F"/>
    <w:rsid w:val="00E52861"/>
    <w:rsid w:val="00E534E9"/>
    <w:rsid w:val="00E53896"/>
    <w:rsid w:val="00E54EFA"/>
    <w:rsid w:val="00E54F98"/>
    <w:rsid w:val="00E60021"/>
    <w:rsid w:val="00E61E3A"/>
    <w:rsid w:val="00E62E19"/>
    <w:rsid w:val="00E65858"/>
    <w:rsid w:val="00E6611D"/>
    <w:rsid w:val="00E66DF5"/>
    <w:rsid w:val="00E675DE"/>
    <w:rsid w:val="00E67D72"/>
    <w:rsid w:val="00E70389"/>
    <w:rsid w:val="00E709A8"/>
    <w:rsid w:val="00E718B7"/>
    <w:rsid w:val="00E75ADA"/>
    <w:rsid w:val="00E77154"/>
    <w:rsid w:val="00E81AB6"/>
    <w:rsid w:val="00E81E65"/>
    <w:rsid w:val="00E82A99"/>
    <w:rsid w:val="00E8359A"/>
    <w:rsid w:val="00E91A72"/>
    <w:rsid w:val="00E95989"/>
    <w:rsid w:val="00EA408C"/>
    <w:rsid w:val="00EA466C"/>
    <w:rsid w:val="00EA4C06"/>
    <w:rsid w:val="00EA6E02"/>
    <w:rsid w:val="00EB0A8F"/>
    <w:rsid w:val="00EB332E"/>
    <w:rsid w:val="00EB3E73"/>
    <w:rsid w:val="00EB6112"/>
    <w:rsid w:val="00EC071D"/>
    <w:rsid w:val="00EC0D88"/>
    <w:rsid w:val="00EC2C2F"/>
    <w:rsid w:val="00EC3D99"/>
    <w:rsid w:val="00EC465E"/>
    <w:rsid w:val="00EC5CA8"/>
    <w:rsid w:val="00EC6AC5"/>
    <w:rsid w:val="00ED2EE7"/>
    <w:rsid w:val="00ED3159"/>
    <w:rsid w:val="00ED3623"/>
    <w:rsid w:val="00ED387F"/>
    <w:rsid w:val="00ED714D"/>
    <w:rsid w:val="00EE2475"/>
    <w:rsid w:val="00EE26BB"/>
    <w:rsid w:val="00EE4867"/>
    <w:rsid w:val="00EE52CF"/>
    <w:rsid w:val="00EE5919"/>
    <w:rsid w:val="00EE59D9"/>
    <w:rsid w:val="00EE6418"/>
    <w:rsid w:val="00EF2193"/>
    <w:rsid w:val="00EF2778"/>
    <w:rsid w:val="00EF39EC"/>
    <w:rsid w:val="00EF3E22"/>
    <w:rsid w:val="00EF5C1E"/>
    <w:rsid w:val="00EF6E8A"/>
    <w:rsid w:val="00EF6EF0"/>
    <w:rsid w:val="00F00A27"/>
    <w:rsid w:val="00F00AD2"/>
    <w:rsid w:val="00F01D25"/>
    <w:rsid w:val="00F03239"/>
    <w:rsid w:val="00F06913"/>
    <w:rsid w:val="00F06B7C"/>
    <w:rsid w:val="00F12C91"/>
    <w:rsid w:val="00F16A13"/>
    <w:rsid w:val="00F23437"/>
    <w:rsid w:val="00F24AD1"/>
    <w:rsid w:val="00F24BC0"/>
    <w:rsid w:val="00F24FDE"/>
    <w:rsid w:val="00F265BE"/>
    <w:rsid w:val="00F265E9"/>
    <w:rsid w:val="00F271D8"/>
    <w:rsid w:val="00F32D28"/>
    <w:rsid w:val="00F3372C"/>
    <w:rsid w:val="00F3389B"/>
    <w:rsid w:val="00F34104"/>
    <w:rsid w:val="00F34C9E"/>
    <w:rsid w:val="00F350A1"/>
    <w:rsid w:val="00F36357"/>
    <w:rsid w:val="00F36FD1"/>
    <w:rsid w:val="00F4018F"/>
    <w:rsid w:val="00F4082D"/>
    <w:rsid w:val="00F40C05"/>
    <w:rsid w:val="00F41006"/>
    <w:rsid w:val="00F452BE"/>
    <w:rsid w:val="00F4546F"/>
    <w:rsid w:val="00F45532"/>
    <w:rsid w:val="00F45A0D"/>
    <w:rsid w:val="00F46138"/>
    <w:rsid w:val="00F4624E"/>
    <w:rsid w:val="00F46621"/>
    <w:rsid w:val="00F47C44"/>
    <w:rsid w:val="00F5086D"/>
    <w:rsid w:val="00F50FF3"/>
    <w:rsid w:val="00F517F2"/>
    <w:rsid w:val="00F526C5"/>
    <w:rsid w:val="00F53E79"/>
    <w:rsid w:val="00F54468"/>
    <w:rsid w:val="00F62DE4"/>
    <w:rsid w:val="00F635B0"/>
    <w:rsid w:val="00F649F4"/>
    <w:rsid w:val="00F64F49"/>
    <w:rsid w:val="00F6751F"/>
    <w:rsid w:val="00F700E6"/>
    <w:rsid w:val="00F70CE7"/>
    <w:rsid w:val="00F71234"/>
    <w:rsid w:val="00F73926"/>
    <w:rsid w:val="00F74A67"/>
    <w:rsid w:val="00F75107"/>
    <w:rsid w:val="00F76806"/>
    <w:rsid w:val="00F76922"/>
    <w:rsid w:val="00F80CEE"/>
    <w:rsid w:val="00F81F42"/>
    <w:rsid w:val="00F8443C"/>
    <w:rsid w:val="00F8478E"/>
    <w:rsid w:val="00F85065"/>
    <w:rsid w:val="00F86128"/>
    <w:rsid w:val="00F87398"/>
    <w:rsid w:val="00F91317"/>
    <w:rsid w:val="00F92628"/>
    <w:rsid w:val="00F94C70"/>
    <w:rsid w:val="00F97D8E"/>
    <w:rsid w:val="00FA04AF"/>
    <w:rsid w:val="00FA7784"/>
    <w:rsid w:val="00FB3EB4"/>
    <w:rsid w:val="00FB490B"/>
    <w:rsid w:val="00FB5CA1"/>
    <w:rsid w:val="00FB6BEB"/>
    <w:rsid w:val="00FB788B"/>
    <w:rsid w:val="00FC04B5"/>
    <w:rsid w:val="00FC2067"/>
    <w:rsid w:val="00FC2602"/>
    <w:rsid w:val="00FC28F7"/>
    <w:rsid w:val="00FC7EEE"/>
    <w:rsid w:val="00FD0D73"/>
    <w:rsid w:val="00FD3EA4"/>
    <w:rsid w:val="00FD6AAF"/>
    <w:rsid w:val="00FD7E50"/>
    <w:rsid w:val="00FE1F4F"/>
    <w:rsid w:val="00FE4C13"/>
    <w:rsid w:val="00FE7457"/>
    <w:rsid w:val="00FF2B27"/>
    <w:rsid w:val="00FF5264"/>
    <w:rsid w:val="00FF67FA"/>
    <w:rsid w:val="024600CB"/>
    <w:rsid w:val="025121D0"/>
    <w:rsid w:val="028B18FB"/>
    <w:rsid w:val="029A7C8F"/>
    <w:rsid w:val="02DE5ECF"/>
    <w:rsid w:val="02E903CF"/>
    <w:rsid w:val="03012EB6"/>
    <w:rsid w:val="030C2C1F"/>
    <w:rsid w:val="03E05C76"/>
    <w:rsid w:val="040F0053"/>
    <w:rsid w:val="041059C0"/>
    <w:rsid w:val="04115814"/>
    <w:rsid w:val="044E1C2B"/>
    <w:rsid w:val="04640655"/>
    <w:rsid w:val="048A0CB8"/>
    <w:rsid w:val="05551D6C"/>
    <w:rsid w:val="05931291"/>
    <w:rsid w:val="06734B80"/>
    <w:rsid w:val="06777248"/>
    <w:rsid w:val="06B63265"/>
    <w:rsid w:val="07115CFE"/>
    <w:rsid w:val="07141709"/>
    <w:rsid w:val="07492231"/>
    <w:rsid w:val="074C630C"/>
    <w:rsid w:val="07911761"/>
    <w:rsid w:val="08E91C8E"/>
    <w:rsid w:val="091C14FF"/>
    <w:rsid w:val="09554F7F"/>
    <w:rsid w:val="09AC5238"/>
    <w:rsid w:val="09B91E73"/>
    <w:rsid w:val="0B216B0F"/>
    <w:rsid w:val="0B453DBF"/>
    <w:rsid w:val="0B6C7DF0"/>
    <w:rsid w:val="0C3A6B50"/>
    <w:rsid w:val="0CBC55DD"/>
    <w:rsid w:val="0D621DA0"/>
    <w:rsid w:val="0E175E4F"/>
    <w:rsid w:val="0E430E78"/>
    <w:rsid w:val="0E4600F1"/>
    <w:rsid w:val="0E74336A"/>
    <w:rsid w:val="0F3D3A4A"/>
    <w:rsid w:val="0F61151D"/>
    <w:rsid w:val="0F915630"/>
    <w:rsid w:val="0FBC682D"/>
    <w:rsid w:val="0FDA5E7C"/>
    <w:rsid w:val="0FE62886"/>
    <w:rsid w:val="106422A2"/>
    <w:rsid w:val="11020FDA"/>
    <w:rsid w:val="121E6E1F"/>
    <w:rsid w:val="124A5E7C"/>
    <w:rsid w:val="124F64A1"/>
    <w:rsid w:val="12FD669C"/>
    <w:rsid w:val="13620456"/>
    <w:rsid w:val="141C6857"/>
    <w:rsid w:val="145664B1"/>
    <w:rsid w:val="14956609"/>
    <w:rsid w:val="14B1541F"/>
    <w:rsid w:val="14C84AF8"/>
    <w:rsid w:val="14CB202B"/>
    <w:rsid w:val="15681628"/>
    <w:rsid w:val="16133C89"/>
    <w:rsid w:val="1615355E"/>
    <w:rsid w:val="175E4A65"/>
    <w:rsid w:val="18000D5A"/>
    <w:rsid w:val="182A0D45"/>
    <w:rsid w:val="18CB2A86"/>
    <w:rsid w:val="18CF5571"/>
    <w:rsid w:val="18EC3795"/>
    <w:rsid w:val="19197D2F"/>
    <w:rsid w:val="1945669A"/>
    <w:rsid w:val="196D7CBC"/>
    <w:rsid w:val="1A0C2EC9"/>
    <w:rsid w:val="1A676352"/>
    <w:rsid w:val="1A713C1F"/>
    <w:rsid w:val="1AC506ED"/>
    <w:rsid w:val="1B3A0A95"/>
    <w:rsid w:val="1B3A2F9D"/>
    <w:rsid w:val="1B3A3A66"/>
    <w:rsid w:val="1B903686"/>
    <w:rsid w:val="1BAF0938"/>
    <w:rsid w:val="1C067028"/>
    <w:rsid w:val="1C336778"/>
    <w:rsid w:val="1C3D1E77"/>
    <w:rsid w:val="1C661E6D"/>
    <w:rsid w:val="1D3B0967"/>
    <w:rsid w:val="1D935945"/>
    <w:rsid w:val="1DBD4B98"/>
    <w:rsid w:val="1DCF493A"/>
    <w:rsid w:val="1DEB1048"/>
    <w:rsid w:val="1DF22B3C"/>
    <w:rsid w:val="1E420CBE"/>
    <w:rsid w:val="1EF06916"/>
    <w:rsid w:val="1F625C18"/>
    <w:rsid w:val="1F767E64"/>
    <w:rsid w:val="1F7F7E6A"/>
    <w:rsid w:val="1FB71B33"/>
    <w:rsid w:val="1FF82CAC"/>
    <w:rsid w:val="202647F7"/>
    <w:rsid w:val="206A5224"/>
    <w:rsid w:val="20CF1F6B"/>
    <w:rsid w:val="20F31418"/>
    <w:rsid w:val="210C37AF"/>
    <w:rsid w:val="212E273D"/>
    <w:rsid w:val="21527B83"/>
    <w:rsid w:val="215A09BE"/>
    <w:rsid w:val="21D32688"/>
    <w:rsid w:val="220973D9"/>
    <w:rsid w:val="227B707F"/>
    <w:rsid w:val="229F554B"/>
    <w:rsid w:val="22CB5E23"/>
    <w:rsid w:val="22E42C35"/>
    <w:rsid w:val="22E72F77"/>
    <w:rsid w:val="230C7A3E"/>
    <w:rsid w:val="235F294A"/>
    <w:rsid w:val="23653452"/>
    <w:rsid w:val="23D55D20"/>
    <w:rsid w:val="23FB76B9"/>
    <w:rsid w:val="23FE3883"/>
    <w:rsid w:val="24084B98"/>
    <w:rsid w:val="243634F3"/>
    <w:rsid w:val="246F478D"/>
    <w:rsid w:val="24AD1BC4"/>
    <w:rsid w:val="250A344E"/>
    <w:rsid w:val="25590B49"/>
    <w:rsid w:val="258E50DA"/>
    <w:rsid w:val="259C1DC8"/>
    <w:rsid w:val="25DE3CBB"/>
    <w:rsid w:val="25E511E1"/>
    <w:rsid w:val="266E4003"/>
    <w:rsid w:val="267A11BB"/>
    <w:rsid w:val="268812DB"/>
    <w:rsid w:val="26940BB8"/>
    <w:rsid w:val="269654E3"/>
    <w:rsid w:val="270B7AC8"/>
    <w:rsid w:val="270B7E24"/>
    <w:rsid w:val="27703550"/>
    <w:rsid w:val="28074CD0"/>
    <w:rsid w:val="290F05C4"/>
    <w:rsid w:val="294D73CE"/>
    <w:rsid w:val="29732316"/>
    <w:rsid w:val="2984009C"/>
    <w:rsid w:val="29862108"/>
    <w:rsid w:val="298F6472"/>
    <w:rsid w:val="29FC015B"/>
    <w:rsid w:val="2A7517C0"/>
    <w:rsid w:val="2A795E57"/>
    <w:rsid w:val="2AE80AD7"/>
    <w:rsid w:val="2AF272BD"/>
    <w:rsid w:val="2BFD6427"/>
    <w:rsid w:val="2C93023E"/>
    <w:rsid w:val="2D0A159E"/>
    <w:rsid w:val="2D7D772A"/>
    <w:rsid w:val="2DE15604"/>
    <w:rsid w:val="2DF71C47"/>
    <w:rsid w:val="2E043D71"/>
    <w:rsid w:val="2E1A2CBD"/>
    <w:rsid w:val="2E8E6166"/>
    <w:rsid w:val="2EA9088F"/>
    <w:rsid w:val="2EDD31A9"/>
    <w:rsid w:val="2F422332"/>
    <w:rsid w:val="2F566C69"/>
    <w:rsid w:val="2F9B467C"/>
    <w:rsid w:val="304E5B92"/>
    <w:rsid w:val="305247DB"/>
    <w:rsid w:val="308415B4"/>
    <w:rsid w:val="309C34AC"/>
    <w:rsid w:val="309F60E3"/>
    <w:rsid w:val="30B04521"/>
    <w:rsid w:val="31485B61"/>
    <w:rsid w:val="315076E8"/>
    <w:rsid w:val="318529BF"/>
    <w:rsid w:val="318B3424"/>
    <w:rsid w:val="31D2190C"/>
    <w:rsid w:val="325244A3"/>
    <w:rsid w:val="32655415"/>
    <w:rsid w:val="32B70DC5"/>
    <w:rsid w:val="32D70A47"/>
    <w:rsid w:val="33016F86"/>
    <w:rsid w:val="33653D7A"/>
    <w:rsid w:val="33725B8E"/>
    <w:rsid w:val="33A27236"/>
    <w:rsid w:val="33C06508"/>
    <w:rsid w:val="340A662D"/>
    <w:rsid w:val="34360E17"/>
    <w:rsid w:val="34903798"/>
    <w:rsid w:val="34C2697F"/>
    <w:rsid w:val="35207CA0"/>
    <w:rsid w:val="35296DE4"/>
    <w:rsid w:val="355C181D"/>
    <w:rsid w:val="356F70AA"/>
    <w:rsid w:val="35A053D3"/>
    <w:rsid w:val="35AC25ED"/>
    <w:rsid w:val="35D11B70"/>
    <w:rsid w:val="362E3CD5"/>
    <w:rsid w:val="36354047"/>
    <w:rsid w:val="36F11B9A"/>
    <w:rsid w:val="37046C25"/>
    <w:rsid w:val="37EF6335"/>
    <w:rsid w:val="37F86058"/>
    <w:rsid w:val="38B4392F"/>
    <w:rsid w:val="38D07641"/>
    <w:rsid w:val="39580A05"/>
    <w:rsid w:val="397F0B6A"/>
    <w:rsid w:val="39BA0B35"/>
    <w:rsid w:val="39D013C6"/>
    <w:rsid w:val="3A2F7D52"/>
    <w:rsid w:val="3A7868EF"/>
    <w:rsid w:val="3A8B3E85"/>
    <w:rsid w:val="3B092B44"/>
    <w:rsid w:val="3B405113"/>
    <w:rsid w:val="3CB55BF6"/>
    <w:rsid w:val="3D387D66"/>
    <w:rsid w:val="3E1034A1"/>
    <w:rsid w:val="3E1B36E3"/>
    <w:rsid w:val="3E447CFD"/>
    <w:rsid w:val="3EE735A7"/>
    <w:rsid w:val="3FB461A6"/>
    <w:rsid w:val="403703F1"/>
    <w:rsid w:val="40DC6D8D"/>
    <w:rsid w:val="40E52187"/>
    <w:rsid w:val="41087697"/>
    <w:rsid w:val="412A20B8"/>
    <w:rsid w:val="416E5568"/>
    <w:rsid w:val="418E6E19"/>
    <w:rsid w:val="42004812"/>
    <w:rsid w:val="420B0476"/>
    <w:rsid w:val="42894808"/>
    <w:rsid w:val="42D86298"/>
    <w:rsid w:val="42EE0B0F"/>
    <w:rsid w:val="436C4C92"/>
    <w:rsid w:val="43874EB8"/>
    <w:rsid w:val="439F739E"/>
    <w:rsid w:val="43C53EED"/>
    <w:rsid w:val="43DB1093"/>
    <w:rsid w:val="44086D9A"/>
    <w:rsid w:val="440B71BB"/>
    <w:rsid w:val="4441584C"/>
    <w:rsid w:val="444C65CD"/>
    <w:rsid w:val="444F4F3A"/>
    <w:rsid w:val="446E1C6F"/>
    <w:rsid w:val="44EF6B85"/>
    <w:rsid w:val="4525470A"/>
    <w:rsid w:val="45780F51"/>
    <w:rsid w:val="45C323F1"/>
    <w:rsid w:val="45F80E26"/>
    <w:rsid w:val="46301D91"/>
    <w:rsid w:val="466330FF"/>
    <w:rsid w:val="467363F8"/>
    <w:rsid w:val="46DE5907"/>
    <w:rsid w:val="47310BC3"/>
    <w:rsid w:val="473968FE"/>
    <w:rsid w:val="474732F8"/>
    <w:rsid w:val="47DA120A"/>
    <w:rsid w:val="485F7C46"/>
    <w:rsid w:val="498E0956"/>
    <w:rsid w:val="49FC6E82"/>
    <w:rsid w:val="4AC128C1"/>
    <w:rsid w:val="4AC436A6"/>
    <w:rsid w:val="4B3308B5"/>
    <w:rsid w:val="4B337875"/>
    <w:rsid w:val="4B5E0F69"/>
    <w:rsid w:val="4B727C4A"/>
    <w:rsid w:val="4B73039B"/>
    <w:rsid w:val="4C592403"/>
    <w:rsid w:val="4C863DA4"/>
    <w:rsid w:val="4CC56D43"/>
    <w:rsid w:val="4CF431C6"/>
    <w:rsid w:val="4D101657"/>
    <w:rsid w:val="4D166C24"/>
    <w:rsid w:val="4D2A484F"/>
    <w:rsid w:val="4D6B3488"/>
    <w:rsid w:val="4D891B60"/>
    <w:rsid w:val="4DB43081"/>
    <w:rsid w:val="4E120E4F"/>
    <w:rsid w:val="4EE15319"/>
    <w:rsid w:val="4F755F96"/>
    <w:rsid w:val="4FCE7CFE"/>
    <w:rsid w:val="50DB56F2"/>
    <w:rsid w:val="51791EEB"/>
    <w:rsid w:val="526B7E3F"/>
    <w:rsid w:val="52941907"/>
    <w:rsid w:val="52A925E8"/>
    <w:rsid w:val="52EB531A"/>
    <w:rsid w:val="534E30A1"/>
    <w:rsid w:val="53826985"/>
    <w:rsid w:val="5385424B"/>
    <w:rsid w:val="53866166"/>
    <w:rsid w:val="53B21D92"/>
    <w:rsid w:val="53E27405"/>
    <w:rsid w:val="54090B2A"/>
    <w:rsid w:val="542125C0"/>
    <w:rsid w:val="54B20F72"/>
    <w:rsid w:val="54B82E4B"/>
    <w:rsid w:val="54FD6961"/>
    <w:rsid w:val="550A1849"/>
    <w:rsid w:val="551B6DA4"/>
    <w:rsid w:val="55340EE1"/>
    <w:rsid w:val="556B7523"/>
    <w:rsid w:val="55BD5204"/>
    <w:rsid w:val="56006F4E"/>
    <w:rsid w:val="560E354A"/>
    <w:rsid w:val="57684EDC"/>
    <w:rsid w:val="577B5D8A"/>
    <w:rsid w:val="57893085"/>
    <w:rsid w:val="58346DC4"/>
    <w:rsid w:val="597A34A2"/>
    <w:rsid w:val="59D76D95"/>
    <w:rsid w:val="59F20F41"/>
    <w:rsid w:val="5B302D4D"/>
    <w:rsid w:val="5B7E082A"/>
    <w:rsid w:val="5C2B6D59"/>
    <w:rsid w:val="5C8B41AB"/>
    <w:rsid w:val="5D245C48"/>
    <w:rsid w:val="5D423AD9"/>
    <w:rsid w:val="5D646D9A"/>
    <w:rsid w:val="5DB6074F"/>
    <w:rsid w:val="5EA82788"/>
    <w:rsid w:val="5F0A4C2A"/>
    <w:rsid w:val="5F23318E"/>
    <w:rsid w:val="5F264AF1"/>
    <w:rsid w:val="5FDF615F"/>
    <w:rsid w:val="608F40A8"/>
    <w:rsid w:val="609355AC"/>
    <w:rsid w:val="60957D19"/>
    <w:rsid w:val="609B040A"/>
    <w:rsid w:val="61654438"/>
    <w:rsid w:val="61C86D4A"/>
    <w:rsid w:val="62807BBC"/>
    <w:rsid w:val="62BB5EA5"/>
    <w:rsid w:val="62C751AC"/>
    <w:rsid w:val="63193E36"/>
    <w:rsid w:val="63844E4C"/>
    <w:rsid w:val="638A48B7"/>
    <w:rsid w:val="64852C29"/>
    <w:rsid w:val="64AE59F6"/>
    <w:rsid w:val="650247CF"/>
    <w:rsid w:val="65B56C0B"/>
    <w:rsid w:val="65C97631"/>
    <w:rsid w:val="65F21AB3"/>
    <w:rsid w:val="66251B68"/>
    <w:rsid w:val="66664CDC"/>
    <w:rsid w:val="66E86DEB"/>
    <w:rsid w:val="67127912"/>
    <w:rsid w:val="6732221A"/>
    <w:rsid w:val="674D1342"/>
    <w:rsid w:val="681B4A8F"/>
    <w:rsid w:val="6849021F"/>
    <w:rsid w:val="687A3C05"/>
    <w:rsid w:val="68940414"/>
    <w:rsid w:val="69553B4D"/>
    <w:rsid w:val="69724AD7"/>
    <w:rsid w:val="698F2F8F"/>
    <w:rsid w:val="699A7177"/>
    <w:rsid w:val="699F771D"/>
    <w:rsid w:val="6AF62604"/>
    <w:rsid w:val="6B030D4C"/>
    <w:rsid w:val="6B807383"/>
    <w:rsid w:val="6BBD6062"/>
    <w:rsid w:val="6BE74E19"/>
    <w:rsid w:val="6C001E4A"/>
    <w:rsid w:val="6C0E785F"/>
    <w:rsid w:val="6CD37D36"/>
    <w:rsid w:val="6D6F26C8"/>
    <w:rsid w:val="6E0F2A59"/>
    <w:rsid w:val="6E18382A"/>
    <w:rsid w:val="6E2A65EF"/>
    <w:rsid w:val="6E625D89"/>
    <w:rsid w:val="6EBF6F4C"/>
    <w:rsid w:val="6EEA7B57"/>
    <w:rsid w:val="6F072F62"/>
    <w:rsid w:val="6FAE76E8"/>
    <w:rsid w:val="700239E9"/>
    <w:rsid w:val="70151CB4"/>
    <w:rsid w:val="719641E7"/>
    <w:rsid w:val="71C92F88"/>
    <w:rsid w:val="71DB0B17"/>
    <w:rsid w:val="72946F4B"/>
    <w:rsid w:val="72AD56B1"/>
    <w:rsid w:val="72C64E61"/>
    <w:rsid w:val="730829F7"/>
    <w:rsid w:val="73177C77"/>
    <w:rsid w:val="73641BFE"/>
    <w:rsid w:val="73D0382F"/>
    <w:rsid w:val="745C32DA"/>
    <w:rsid w:val="74B66E2F"/>
    <w:rsid w:val="74CE6A7E"/>
    <w:rsid w:val="74EE6617"/>
    <w:rsid w:val="753A180E"/>
    <w:rsid w:val="756276E8"/>
    <w:rsid w:val="75734D20"/>
    <w:rsid w:val="75864A53"/>
    <w:rsid w:val="759F2DD4"/>
    <w:rsid w:val="75B77661"/>
    <w:rsid w:val="760834D9"/>
    <w:rsid w:val="76BF43FB"/>
    <w:rsid w:val="788460D8"/>
    <w:rsid w:val="78B6564F"/>
    <w:rsid w:val="78EA354B"/>
    <w:rsid w:val="795B4B05"/>
    <w:rsid w:val="796D2967"/>
    <w:rsid w:val="79CD5CEC"/>
    <w:rsid w:val="7A592736"/>
    <w:rsid w:val="7AA240DD"/>
    <w:rsid w:val="7AA37E55"/>
    <w:rsid w:val="7B3B7919"/>
    <w:rsid w:val="7B683833"/>
    <w:rsid w:val="7B6F7CF7"/>
    <w:rsid w:val="7C4B2B74"/>
    <w:rsid w:val="7C804BFA"/>
    <w:rsid w:val="7C831CEC"/>
    <w:rsid w:val="7C89326C"/>
    <w:rsid w:val="7CC516EE"/>
    <w:rsid w:val="7CFF2A1E"/>
    <w:rsid w:val="7D013D1F"/>
    <w:rsid w:val="7D0746CC"/>
    <w:rsid w:val="7D26648E"/>
    <w:rsid w:val="7D8904F4"/>
    <w:rsid w:val="7E611BB9"/>
    <w:rsid w:val="7E7D73FF"/>
    <w:rsid w:val="7EB77390"/>
    <w:rsid w:val="7EF70770"/>
    <w:rsid w:val="7EFC21B4"/>
    <w:rsid w:val="7F70030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4" w:lineRule="atLeast"/>
      <w:ind w:left="1" w:firstLine="420"/>
      <w:jc w:val="both"/>
      <w:textAlignment w:val="bottom"/>
    </w:pPr>
    <w:rPr>
      <w:rFonts w:ascii="Times New Roman" w:hAnsi="Times New Roman" w:eastAsia="宋体" w:cs="Times New Roman"/>
      <w:color w:val="000000"/>
      <w:sz w:val="21"/>
      <w:szCs w:val="21"/>
      <w:lang w:val="en-US" w:eastAsia="zh-CN" w:bidi="ar-SA"/>
    </w:rPr>
  </w:style>
  <w:style w:type="paragraph" w:styleId="2">
    <w:name w:val="heading 1"/>
    <w:basedOn w:val="1"/>
    <w:next w:val="3"/>
    <w:link w:val="20"/>
    <w:qFormat/>
    <w:uiPriority w:val="99"/>
    <w:pPr>
      <w:spacing w:before="159" w:after="153" w:line="554" w:lineRule="atLeast"/>
      <w:ind w:firstLine="0"/>
      <w:jc w:val="center"/>
      <w:outlineLvl w:val="0"/>
    </w:pPr>
    <w:rPr>
      <w:rFonts w:ascii="Arial" w:hAnsi="Arial" w:eastAsia="黑体" w:cs="Arial"/>
      <w:sz w:val="32"/>
      <w:szCs w:val="32"/>
    </w:rPr>
  </w:style>
  <w:style w:type="paragraph" w:styleId="3">
    <w:name w:val="heading 2"/>
    <w:basedOn w:val="1"/>
    <w:next w:val="4"/>
    <w:link w:val="21"/>
    <w:qFormat/>
    <w:uiPriority w:val="99"/>
    <w:pPr>
      <w:spacing w:line="519" w:lineRule="atLeast"/>
      <w:ind w:firstLine="0"/>
      <w:jc w:val="center"/>
      <w:outlineLvl w:val="1"/>
    </w:pPr>
    <w:rPr>
      <w:sz w:val="28"/>
      <w:szCs w:val="28"/>
    </w:rPr>
  </w:style>
  <w:style w:type="paragraph" w:styleId="4">
    <w:name w:val="heading 3"/>
    <w:basedOn w:val="1"/>
    <w:next w:val="1"/>
    <w:link w:val="22"/>
    <w:qFormat/>
    <w:uiPriority w:val="99"/>
    <w:pPr>
      <w:spacing w:before="176" w:after="102"/>
      <w:ind w:firstLine="0"/>
      <w:outlineLvl w:val="2"/>
    </w:pPr>
    <w:rPr>
      <w:rFonts w:eastAsia="黑体"/>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semiHidden/>
    <w:qFormat/>
    <w:uiPriority w:val="99"/>
    <w:pPr>
      <w:spacing w:line="548" w:lineRule="atLeast"/>
    </w:pPr>
  </w:style>
  <w:style w:type="paragraph" w:styleId="6">
    <w:name w:val="Date"/>
    <w:basedOn w:val="1"/>
    <w:next w:val="1"/>
    <w:link w:val="23"/>
    <w:qFormat/>
    <w:uiPriority w:val="99"/>
    <w:pPr>
      <w:ind w:left="100" w:leftChars="2500"/>
    </w:pPr>
  </w:style>
  <w:style w:type="paragraph" w:styleId="7">
    <w:name w:val="footer"/>
    <w:basedOn w:val="1"/>
    <w:link w:val="24"/>
    <w:qFormat/>
    <w:uiPriority w:val="99"/>
    <w:pPr>
      <w:tabs>
        <w:tab w:val="center" w:pos="4153"/>
        <w:tab w:val="right" w:pos="8306"/>
      </w:tabs>
      <w:snapToGrid w:val="0"/>
      <w:jc w:val="left"/>
    </w:pPr>
    <w:rPr>
      <w:sz w:val="18"/>
      <w:szCs w:val="18"/>
    </w:rPr>
  </w:style>
  <w:style w:type="paragraph" w:styleId="8">
    <w:name w:val="header"/>
    <w:basedOn w:val="1"/>
    <w:link w:val="25"/>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semiHidden/>
    <w:qFormat/>
    <w:uiPriority w:val="99"/>
    <w:pPr>
      <w:spacing w:after="136" w:line="519" w:lineRule="atLeast"/>
      <w:ind w:firstLine="0"/>
      <w:jc w:val="left"/>
    </w:pPr>
    <w:rPr>
      <w:rFonts w:ascii="Arial" w:hAnsi="Arial" w:eastAsia="黑体" w:cs="Arial"/>
      <w:sz w:val="28"/>
      <w:szCs w:val="28"/>
    </w:rPr>
  </w:style>
  <w:style w:type="paragraph" w:styleId="10">
    <w:name w:val="toc 4"/>
    <w:basedOn w:val="1"/>
    <w:next w:val="1"/>
    <w:semiHidden/>
    <w:qFormat/>
    <w:uiPriority w:val="99"/>
    <w:pPr>
      <w:spacing w:line="548" w:lineRule="atLeast"/>
      <w:ind w:firstLine="630"/>
    </w:pPr>
  </w:style>
  <w:style w:type="paragraph" w:styleId="11">
    <w:name w:val="toc 2"/>
    <w:basedOn w:val="1"/>
    <w:next w:val="1"/>
    <w:semiHidden/>
    <w:qFormat/>
    <w:uiPriority w:val="99"/>
    <w:pPr>
      <w:spacing w:line="548" w:lineRule="atLeast"/>
      <w:ind w:firstLine="210"/>
    </w:pPr>
  </w:style>
  <w:style w:type="paragraph" w:styleId="12">
    <w:name w:val="Normal (Web)"/>
    <w:basedOn w:val="1"/>
    <w:unhideWhenUsed/>
    <w:qFormat/>
    <w:locked/>
    <w:uiPriority w:val="99"/>
    <w:pPr>
      <w:widowControl/>
      <w:spacing w:before="100" w:beforeAutospacing="1" w:after="100" w:afterAutospacing="1" w:line="240" w:lineRule="auto"/>
      <w:ind w:left="0" w:firstLine="0"/>
      <w:jc w:val="left"/>
      <w:textAlignment w:val="auto"/>
    </w:pPr>
    <w:rPr>
      <w:rFonts w:ascii="宋体" w:hAnsi="宋体" w:cs="宋体"/>
      <w:color w:val="auto"/>
      <w:sz w:val="24"/>
      <w:szCs w:val="24"/>
    </w:rPr>
  </w:style>
  <w:style w:type="paragraph" w:styleId="13">
    <w:name w:val="Title"/>
    <w:basedOn w:val="1"/>
    <w:next w:val="14"/>
    <w:link w:val="26"/>
    <w:qFormat/>
    <w:uiPriority w:val="99"/>
    <w:pPr>
      <w:spacing w:before="567" w:after="545" w:line="808" w:lineRule="atLeast"/>
      <w:ind w:firstLine="0"/>
      <w:jc w:val="center"/>
    </w:pPr>
    <w:rPr>
      <w:rFonts w:ascii="Arial" w:hAnsi="Arial" w:eastAsia="黑体" w:cs="Arial"/>
      <w:sz w:val="52"/>
      <w:szCs w:val="52"/>
    </w:rPr>
  </w:style>
  <w:style w:type="paragraph" w:customStyle="1" w:styleId="14">
    <w:name w:val="文章副标题"/>
    <w:basedOn w:val="1"/>
    <w:next w:val="2"/>
    <w:qFormat/>
    <w:uiPriority w:val="99"/>
    <w:pPr>
      <w:spacing w:before="104" w:after="104" w:line="240" w:lineRule="atLeast"/>
      <w:ind w:firstLine="0"/>
      <w:jc w:val="center"/>
    </w:pPr>
    <w:rPr>
      <w:sz w:val="36"/>
      <w:szCs w:val="36"/>
    </w:rPr>
  </w:style>
  <w:style w:type="character" w:styleId="17">
    <w:name w:val="Strong"/>
    <w:basedOn w:val="16"/>
    <w:qFormat/>
    <w:uiPriority w:val="22"/>
    <w:rPr>
      <w:b/>
      <w:bCs/>
    </w:rPr>
  </w:style>
  <w:style w:type="character" w:styleId="18">
    <w:name w:val="page number"/>
    <w:basedOn w:val="16"/>
    <w:qFormat/>
    <w:uiPriority w:val="99"/>
    <w:rPr>
      <w:rFonts w:cs="Times New Roman"/>
    </w:rPr>
  </w:style>
  <w:style w:type="character" w:styleId="19">
    <w:name w:val="Hyperlink"/>
    <w:basedOn w:val="16"/>
    <w:qFormat/>
    <w:uiPriority w:val="99"/>
    <w:rPr>
      <w:rFonts w:cs="Times New Roman"/>
      <w:color w:val="0000FF"/>
      <w:u w:val="single"/>
    </w:rPr>
  </w:style>
  <w:style w:type="character" w:customStyle="1" w:styleId="20">
    <w:name w:val="标题 1 Char"/>
    <w:basedOn w:val="16"/>
    <w:link w:val="2"/>
    <w:qFormat/>
    <w:locked/>
    <w:uiPriority w:val="99"/>
    <w:rPr>
      <w:rFonts w:cs="Times New Roman"/>
      <w:b/>
      <w:bCs/>
      <w:color w:val="000000"/>
      <w:kern w:val="44"/>
      <w:sz w:val="44"/>
      <w:szCs w:val="44"/>
    </w:rPr>
  </w:style>
  <w:style w:type="character" w:customStyle="1" w:styleId="21">
    <w:name w:val="标题 2 Char"/>
    <w:basedOn w:val="16"/>
    <w:link w:val="3"/>
    <w:semiHidden/>
    <w:qFormat/>
    <w:locked/>
    <w:uiPriority w:val="99"/>
    <w:rPr>
      <w:rFonts w:ascii="Cambria" w:hAnsi="Cambria" w:eastAsia="宋体" w:cs="Cambria"/>
      <w:b/>
      <w:bCs/>
      <w:color w:val="000000"/>
      <w:kern w:val="0"/>
      <w:sz w:val="32"/>
      <w:szCs w:val="32"/>
    </w:rPr>
  </w:style>
  <w:style w:type="character" w:customStyle="1" w:styleId="22">
    <w:name w:val="标题 3 Char"/>
    <w:basedOn w:val="16"/>
    <w:link w:val="4"/>
    <w:semiHidden/>
    <w:qFormat/>
    <w:locked/>
    <w:uiPriority w:val="99"/>
    <w:rPr>
      <w:rFonts w:cs="Times New Roman"/>
      <w:b/>
      <w:bCs/>
      <w:color w:val="000000"/>
      <w:kern w:val="0"/>
      <w:sz w:val="32"/>
      <w:szCs w:val="32"/>
    </w:rPr>
  </w:style>
  <w:style w:type="character" w:customStyle="1" w:styleId="23">
    <w:name w:val="日期 Char"/>
    <w:basedOn w:val="16"/>
    <w:link w:val="6"/>
    <w:semiHidden/>
    <w:qFormat/>
    <w:locked/>
    <w:uiPriority w:val="99"/>
    <w:rPr>
      <w:rFonts w:cs="Times New Roman"/>
      <w:color w:val="000000"/>
      <w:kern w:val="0"/>
      <w:sz w:val="20"/>
      <w:szCs w:val="20"/>
    </w:rPr>
  </w:style>
  <w:style w:type="character" w:customStyle="1" w:styleId="24">
    <w:name w:val="页脚 Char"/>
    <w:basedOn w:val="16"/>
    <w:link w:val="7"/>
    <w:semiHidden/>
    <w:qFormat/>
    <w:locked/>
    <w:uiPriority w:val="99"/>
    <w:rPr>
      <w:rFonts w:cs="Times New Roman"/>
      <w:color w:val="000000"/>
      <w:kern w:val="0"/>
      <w:sz w:val="18"/>
      <w:szCs w:val="18"/>
    </w:rPr>
  </w:style>
  <w:style w:type="character" w:customStyle="1" w:styleId="25">
    <w:name w:val="页眉 Char"/>
    <w:basedOn w:val="16"/>
    <w:link w:val="8"/>
    <w:semiHidden/>
    <w:qFormat/>
    <w:locked/>
    <w:uiPriority w:val="99"/>
    <w:rPr>
      <w:rFonts w:cs="Times New Roman"/>
      <w:color w:val="000000"/>
      <w:kern w:val="0"/>
      <w:sz w:val="18"/>
      <w:szCs w:val="18"/>
    </w:rPr>
  </w:style>
  <w:style w:type="character" w:customStyle="1" w:styleId="26">
    <w:name w:val="标题 Char"/>
    <w:basedOn w:val="16"/>
    <w:link w:val="13"/>
    <w:qFormat/>
    <w:locked/>
    <w:uiPriority w:val="99"/>
    <w:rPr>
      <w:rFonts w:ascii="Cambria" w:hAnsi="Cambria" w:cs="Cambria"/>
      <w:b/>
      <w:bCs/>
      <w:color w:val="000000"/>
      <w:kern w:val="0"/>
      <w:sz w:val="32"/>
      <w:szCs w:val="32"/>
    </w:rPr>
  </w:style>
  <w:style w:type="character" w:customStyle="1" w:styleId="27">
    <w:name w:val="默认段落字体 Char"/>
    <w:qFormat/>
    <w:uiPriority w:val="99"/>
    <w:rPr>
      <w:rFonts w:ascii="Times New Roman" w:hAnsi="Times New Roman" w:eastAsia="宋体"/>
      <w:color w:val="000000"/>
      <w:spacing w:val="0"/>
      <w:w w:val="100"/>
      <w:sz w:val="21"/>
      <w:vertAlign w:val="baseline"/>
    </w:rPr>
  </w:style>
  <w:style w:type="character" w:customStyle="1" w:styleId="28">
    <w:name w:val="链接"/>
    <w:basedOn w:val="16"/>
    <w:qFormat/>
    <w:uiPriority w:val="99"/>
    <w:rPr>
      <w:rFonts w:ascii="Times New Roman" w:hAnsi="Times New Roman" w:eastAsia="宋体" w:cs="Times New Roman"/>
      <w:color w:val="0000FF"/>
      <w:sz w:val="21"/>
      <w:szCs w:val="21"/>
      <w:u w:val="single" w:color="0000FF"/>
      <w:vertAlign w:val="baseline"/>
    </w:rPr>
  </w:style>
  <w:style w:type="character" w:customStyle="1" w:styleId="29">
    <w:name w:val="超级链接"/>
    <w:basedOn w:val="27"/>
    <w:qFormat/>
    <w:uiPriority w:val="99"/>
    <w:rPr>
      <w:rFonts w:cs="Times New Roman"/>
      <w:color w:val="0000FF"/>
      <w:szCs w:val="21"/>
      <w:u w:val="single" w:color="0000FF"/>
    </w:rPr>
  </w:style>
  <w:style w:type="paragraph" w:customStyle="1" w:styleId="30">
    <w:name w:val="WPS Plain"/>
    <w:qFormat/>
    <w:uiPriority w:val="99"/>
    <w:rPr>
      <w:rFonts w:ascii="Times New Roman" w:hAnsi="Times New Roman" w:eastAsia="宋体" w:cs="Times New Roman"/>
      <w:lang w:val="en-US" w:eastAsia="zh-CN" w:bidi="ar-SA"/>
    </w:rPr>
  </w:style>
  <w:style w:type="paragraph" w:customStyle="1" w:styleId="31">
    <w:name w:val="普通表格1"/>
    <w:qFormat/>
    <w:uiPriority w:val="99"/>
    <w:rPr>
      <w:rFonts w:ascii="Times New Roman" w:hAnsi="Times New Roman" w:eastAsia="宋体" w:cs="Times New Roman"/>
      <w:lang w:val="en-US" w:eastAsia="zh-CN" w:bidi="ar-SA"/>
    </w:rPr>
  </w:style>
  <w:style w:type="paragraph" w:customStyle="1" w:styleId="32">
    <w:name w:val="目录标题"/>
    <w:basedOn w:val="1"/>
    <w:next w:val="1"/>
    <w:qFormat/>
    <w:uiPriority w:val="99"/>
    <w:pPr>
      <w:spacing w:before="567" w:after="545" w:line="808" w:lineRule="atLeast"/>
      <w:jc w:val="center"/>
    </w:pPr>
    <w:rPr>
      <w:rFonts w:ascii="Arial" w:hAnsi="Arial" w:eastAsia="黑体" w:cs="Arial"/>
      <w:spacing w:val="283"/>
      <w:sz w:val="52"/>
      <w:szCs w:val="52"/>
    </w:rPr>
  </w:style>
  <w:style w:type="paragraph" w:customStyle="1" w:styleId="33">
    <w:name w:val="无列表1"/>
    <w:qFormat/>
    <w:uiPriority w:val="99"/>
    <w:rPr>
      <w:rFonts w:ascii="Times New Roman" w:hAnsi="Times New Roman" w:eastAsia="宋体" w:cs="Times New Roman"/>
      <w:lang w:val="en-US" w:eastAsia="zh-CN" w:bidi="ar-SA"/>
    </w:rPr>
  </w:style>
  <w:style w:type="paragraph" w:customStyle="1" w:styleId="34">
    <w:name w:val="0"/>
    <w:basedOn w:val="1"/>
    <w:qFormat/>
    <w:uiPriority w:val="99"/>
    <w:pPr>
      <w:widowControl/>
      <w:snapToGrid w:val="0"/>
      <w:spacing w:line="240" w:lineRule="auto"/>
      <w:ind w:left="0" w:firstLine="0"/>
      <w:textAlignment w:val="auto"/>
    </w:pPr>
    <w:rPr>
      <w:color w:val="auto"/>
    </w:rPr>
  </w:style>
  <w:style w:type="paragraph" w:customStyle="1" w:styleId="35">
    <w:name w:val="文章附标题"/>
    <w:basedOn w:val="1"/>
    <w:qFormat/>
    <w:uiPriority w:val="99"/>
    <w:pPr>
      <w:spacing w:before="187" w:after="176" w:line="607" w:lineRule="atLeast"/>
      <w:ind w:firstLine="0"/>
      <w:jc w:val="center"/>
    </w:pPr>
    <w:rPr>
      <w:sz w:val="36"/>
      <w:szCs w:val="36"/>
    </w:rPr>
  </w:style>
  <w:style w:type="paragraph" w:styleId="36">
    <w:name w:val="List Paragraph"/>
    <w:basedOn w:val="1"/>
    <w:qFormat/>
    <w:uiPriority w:val="99"/>
    <w:pPr>
      <w:spacing w:line="240" w:lineRule="auto"/>
      <w:ind w:left="0" w:firstLine="200" w:firstLineChars="200"/>
      <w:textAlignment w:val="auto"/>
    </w:pPr>
    <w:rPr>
      <w:rFonts w:ascii="Calibri" w:hAnsi="Calibri"/>
      <w:color w:val="auto"/>
      <w:kern w:val="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B98810-EC79-46DD-BFC0-1997FCBF0E0E}">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14</Pages>
  <Words>7076</Words>
  <Characters>7943</Characters>
  <Lines>41</Lines>
  <Paragraphs>11</Paragraphs>
  <TotalTime>65</TotalTime>
  <ScaleCrop>false</ScaleCrop>
  <LinksUpToDate>false</LinksUpToDate>
  <CharactersWithSpaces>7989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2021-09-30T02:02:00Z</dcterms:created>
  <dc:creator>Administrator</dc:creator>
  <cp:lastModifiedBy>sjyzx</cp:lastModifiedBy>
  <cp:lastPrinted>2023-09-12T04:48:00Z</cp:lastPrinted>
  <dcterms:modified xsi:type="dcterms:W3CDTF">2023-09-12T07:26:07Z</dcterms:modified>
  <dc:title>乌海市国土资源局</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10355BAE1DF34A2BA62D0F79419EAE38_13</vt:lpwstr>
  </property>
</Properties>
</file>