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auto"/>
          <w:sz w:val="32"/>
          <w:szCs w:val="32"/>
          <w:highlight w:val="none"/>
        </w:rPr>
      </w:pPr>
      <w:r>
        <w:rPr>
          <w:rFonts w:hint="eastAsia" w:ascii="仿宋" w:hAnsi="仿宋" w:eastAsia="仿宋" w:cs="仿宋"/>
          <w:bCs/>
          <w:color w:val="auto"/>
          <w:sz w:val="32"/>
          <w:szCs w:val="32"/>
          <w:highlight w:val="none"/>
        </w:rPr>
        <w:t>乌资交挂字〔</w:t>
      </w:r>
      <w:r>
        <w:rPr>
          <w:rFonts w:ascii="仿宋" w:hAnsi="仿宋" w:eastAsia="仿宋" w:cs="仿宋"/>
          <w:bCs/>
          <w:color w:val="auto"/>
          <w:sz w:val="32"/>
          <w:szCs w:val="32"/>
          <w:highlight w:val="none"/>
        </w:rPr>
        <w:t>202</w:t>
      </w:r>
      <w:r>
        <w:rPr>
          <w:rFonts w:hint="eastAsia" w:ascii="仿宋" w:hAnsi="仿宋" w:eastAsia="仿宋" w:cs="仿宋"/>
          <w:bCs/>
          <w:color w:val="auto"/>
          <w:sz w:val="32"/>
          <w:szCs w:val="32"/>
          <w:highlight w:val="none"/>
          <w:lang w:val="en-US" w:eastAsia="zh-CN"/>
        </w:rPr>
        <w:t>3</w:t>
      </w:r>
      <w:r>
        <w:rPr>
          <w:rFonts w:hint="eastAsia" w:ascii="仿宋" w:hAnsi="仿宋" w:eastAsia="仿宋" w:cs="仿宋"/>
          <w:bCs/>
          <w:color w:val="auto"/>
          <w:sz w:val="32"/>
          <w:szCs w:val="32"/>
          <w:highlight w:val="none"/>
        </w:rPr>
        <w:t>〕</w:t>
      </w:r>
      <w:r>
        <w:rPr>
          <w:rFonts w:hint="eastAsia" w:ascii="仿宋" w:hAnsi="仿宋" w:eastAsia="仿宋" w:cs="仿宋"/>
          <w:bCs/>
          <w:color w:val="auto"/>
          <w:sz w:val="32"/>
          <w:szCs w:val="32"/>
          <w:highlight w:val="none"/>
          <w:lang w:val="en-US" w:eastAsia="zh-CN"/>
        </w:rPr>
        <w:t xml:space="preserve">46 </w:t>
      </w:r>
      <w:r>
        <w:rPr>
          <w:rFonts w:hint="eastAsia" w:ascii="仿宋" w:hAnsi="仿宋" w:eastAsia="仿宋" w:cs="仿宋"/>
          <w:bCs/>
          <w:color w:val="auto"/>
          <w:sz w:val="32"/>
          <w:szCs w:val="32"/>
          <w:highlight w:val="none"/>
        </w:rPr>
        <w:t>号</w:t>
      </w:r>
    </w:p>
    <w:p>
      <w:pPr>
        <w:spacing w:line="560" w:lineRule="exact"/>
        <w:ind w:left="0" w:firstLine="643" w:firstLineChars="200"/>
        <w:jc w:val="center"/>
        <w:rPr>
          <w:rFonts w:asciiTheme="minorEastAsia" w:hAnsiTheme="minorEastAsia" w:eastAsiaTheme="minorEastAsia"/>
          <w:b/>
          <w:bCs/>
          <w:color w:val="auto"/>
          <w:sz w:val="32"/>
          <w:szCs w:val="32"/>
        </w:rPr>
      </w:pP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auto"/>
          <w:sz w:val="32"/>
          <w:szCs w:val="32"/>
        </w:rPr>
        <w:t>经乌海市</w:t>
      </w:r>
      <w:r>
        <w:rPr>
          <w:rFonts w:hint="eastAsia" w:ascii="仿宋" w:hAnsi="仿宋" w:eastAsia="仿宋" w:cs="FangSong_GB2312"/>
          <w:color w:val="auto"/>
          <w:sz w:val="32"/>
          <w:szCs w:val="32"/>
          <w:lang w:eastAsia="zh-CN"/>
        </w:rPr>
        <w:t>海勃湾区</w:t>
      </w:r>
      <w:r>
        <w:rPr>
          <w:rFonts w:hint="eastAsia" w:ascii="仿宋" w:hAnsi="仿宋" w:eastAsia="仿宋" w:cs="FangSong_GB2312"/>
          <w:color w:val="auto"/>
          <w:sz w:val="32"/>
          <w:szCs w:val="32"/>
        </w:rPr>
        <w:t>人民政府批准，乌海市自然资源局</w:t>
      </w:r>
      <w:r>
        <w:rPr>
          <w:rFonts w:hint="eastAsia" w:ascii="仿宋" w:hAnsi="仿宋" w:eastAsia="仿宋" w:cs="FangSong_GB2312"/>
          <w:color w:val="auto"/>
          <w:sz w:val="32"/>
          <w:szCs w:val="32"/>
          <w:lang w:eastAsia="zh-CN"/>
        </w:rPr>
        <w:t>海勃湾</w:t>
      </w:r>
      <w:r>
        <w:rPr>
          <w:rFonts w:hint="eastAsia" w:ascii="仿宋" w:hAnsi="仿宋" w:eastAsia="仿宋" w:cs="FangSong_GB2312"/>
          <w:color w:val="auto"/>
          <w:sz w:val="32"/>
          <w:szCs w:val="32"/>
        </w:rPr>
        <w:t>分局以挂牌方式出让</w:t>
      </w:r>
      <w:r>
        <w:rPr>
          <w:rFonts w:hint="eastAsia" w:ascii="仿宋" w:hAnsi="仿宋" w:eastAsia="仿宋" w:cs="FangSong_GB2312"/>
          <w:color w:val="auto"/>
          <w:sz w:val="32"/>
          <w:szCs w:val="32"/>
          <w:highlight w:val="none"/>
          <w:lang w:val="en-US" w:eastAsia="zh-CN"/>
        </w:rPr>
        <w:t>1</w:t>
      </w:r>
      <w:r>
        <w:rPr>
          <w:rFonts w:hint="eastAsia" w:ascii="仿宋" w:hAnsi="仿宋" w:eastAsia="仿宋" w:cs="FangSong_GB2312"/>
          <w:color w:val="auto"/>
          <w:sz w:val="32"/>
          <w:szCs w:val="32"/>
        </w:rPr>
        <w:t>宗地块的国有建设用地使用权，现将有关事项公告如下：</w:t>
      </w:r>
    </w:p>
    <w:p>
      <w:pPr>
        <w:numPr>
          <w:ilvl w:val="0"/>
          <w:numId w:val="1"/>
        </w:num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宗地基本情况和规划要求：</w:t>
      </w:r>
    </w:p>
    <w:tbl>
      <w:tblPr>
        <w:tblStyle w:val="15"/>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序号</w:t>
            </w:r>
          </w:p>
        </w:tc>
        <w:tc>
          <w:tcPr>
            <w:tcW w:w="742" w:type="dxa"/>
            <w:vMerge w:val="restart"/>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编号</w:t>
            </w:r>
          </w:p>
        </w:tc>
        <w:tc>
          <w:tcPr>
            <w:tcW w:w="883" w:type="dxa"/>
            <w:vMerge w:val="restart"/>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土地位置</w:t>
            </w:r>
          </w:p>
        </w:tc>
        <w:tc>
          <w:tcPr>
            <w:tcW w:w="1059" w:type="dxa"/>
            <w:vMerge w:val="restart"/>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土地面积</w:t>
            </w:r>
            <w:r>
              <w:rPr>
                <w:rFonts w:ascii="仿宋" w:hAnsi="仿宋" w:eastAsia="仿宋" w:cs="FangSong_GB2312falt"/>
                <w:b/>
                <w:bCs/>
                <w:color w:val="000000" w:themeColor="text1"/>
                <w:sz w:val="18"/>
                <w:szCs w:val="18"/>
                <w14:textFill>
                  <w14:solidFill>
                    <w14:schemeClr w14:val="tx1"/>
                  </w14:solidFill>
                </w14:textFill>
              </w:rPr>
              <w:t>(m</w:t>
            </w:r>
            <w:r>
              <w:rPr>
                <w:rFonts w:ascii="仿宋" w:hAnsi="仿宋" w:eastAsia="仿宋" w:cs="FangSong_GB2312falt"/>
                <w:b/>
                <w:bCs/>
                <w:color w:val="000000" w:themeColor="text1"/>
                <w:sz w:val="18"/>
                <w:szCs w:val="18"/>
                <w:vertAlign w:val="superscript"/>
                <w14:textFill>
                  <w14:solidFill>
                    <w14:schemeClr w14:val="tx1"/>
                  </w14:solidFill>
                </w14:textFill>
              </w:rPr>
              <w:t>2</w:t>
            </w:r>
            <w:r>
              <w:rPr>
                <w:rFonts w:hint="eastAsia" w:ascii="仿宋" w:hAnsi="仿宋" w:eastAsia="仿宋" w:cs="FangSong_GB2312falt"/>
                <w:b/>
                <w:bCs/>
                <w:color w:val="000000" w:themeColor="text1"/>
                <w:sz w:val="18"/>
                <w:szCs w:val="18"/>
                <w14:textFill>
                  <w14:solidFill>
                    <w14:schemeClr w14:val="tx1"/>
                  </w14:solidFill>
                </w14:textFill>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土地</w:t>
            </w:r>
          </w:p>
          <w:p>
            <w:pPr>
              <w:spacing w:line="28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用途</w:t>
            </w:r>
          </w:p>
        </w:tc>
        <w:tc>
          <w:tcPr>
            <w:tcW w:w="2811" w:type="dxa"/>
            <w:gridSpan w:val="4"/>
            <w:tcBorders>
              <w:right w:val="single" w:color="auto" w:sz="4" w:space="0"/>
            </w:tcBorders>
          </w:tcPr>
          <w:p>
            <w:pPr>
              <w:pStyle w:val="30"/>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规划指标要求</w:t>
            </w:r>
          </w:p>
        </w:tc>
        <w:tc>
          <w:tcPr>
            <w:tcW w:w="794" w:type="dxa"/>
            <w:tcBorders>
              <w:left w:val="single" w:color="auto" w:sz="4" w:space="0"/>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p>
        </w:tc>
        <w:tc>
          <w:tcPr>
            <w:tcW w:w="630" w:type="dxa"/>
            <w:vMerge w:val="restart"/>
            <w:tcBorders>
              <w:left w:val="single" w:color="auto" w:sz="4" w:space="0"/>
              <w:right w:val="single" w:color="auto" w:sz="4" w:space="0"/>
            </w:tcBorders>
            <w:vAlign w:val="center"/>
          </w:tcPr>
          <w:p>
            <w:pPr>
              <w:pStyle w:val="30"/>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出让</w:t>
            </w:r>
          </w:p>
          <w:p>
            <w:pPr>
              <w:pStyle w:val="30"/>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年限（年）</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起挂价</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996" w:type="dxa"/>
            <w:vMerge w:val="restart"/>
            <w:tcBorders>
              <w:left w:val="single" w:color="auto" w:sz="4" w:space="0"/>
              <w:right w:val="single" w:color="auto" w:sz="4" w:space="0"/>
            </w:tcBorders>
            <w:vAlign w:val="center"/>
          </w:tcPr>
          <w:p>
            <w:pPr>
              <w:pStyle w:val="30"/>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保证金</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74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883" w:type="dxa"/>
            <w:vMerge w:val="continue"/>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p>
        </w:tc>
        <w:tc>
          <w:tcPr>
            <w:tcW w:w="1059" w:type="dxa"/>
            <w:vMerge w:val="continue"/>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p>
        </w:tc>
        <w:tc>
          <w:tcPr>
            <w:tcW w:w="655" w:type="dxa"/>
            <w:vMerge w:val="continue"/>
            <w:vAlign w:val="center"/>
          </w:tcPr>
          <w:p>
            <w:pPr>
              <w:spacing w:line="30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p>
        </w:tc>
        <w:tc>
          <w:tcPr>
            <w:tcW w:w="618" w:type="dxa"/>
            <w:vAlign w:val="center"/>
          </w:tcPr>
          <w:p>
            <w:pPr>
              <w:spacing w:line="24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容积率</w:t>
            </w:r>
          </w:p>
        </w:tc>
        <w:tc>
          <w:tcPr>
            <w:tcW w:w="756" w:type="dxa"/>
            <w:vAlign w:val="center"/>
          </w:tcPr>
          <w:p>
            <w:pPr>
              <w:pStyle w:val="30"/>
              <w:spacing w:line="240" w:lineRule="exact"/>
              <w:jc w:val="center"/>
              <w:textAlignment w:val="center"/>
              <w:rPr>
                <w:rFonts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建筑限高</w:t>
            </w:r>
          </w:p>
        </w:tc>
        <w:tc>
          <w:tcPr>
            <w:tcW w:w="630" w:type="dxa"/>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建筑</w:t>
            </w:r>
            <w:r>
              <w:rPr>
                <w:rFonts w:hint="eastAsia" w:ascii="仿宋" w:hAnsi="仿宋" w:eastAsia="仿宋" w:cs="FangSong_GB2312falt"/>
                <w:b/>
                <w:bCs/>
                <w:color w:val="000000" w:themeColor="text1"/>
                <w:sz w:val="18"/>
                <w:szCs w:val="18"/>
                <w:lang w:eastAsia="zh-CN"/>
                <w14:textFill>
                  <w14:solidFill>
                    <w14:schemeClr w14:val="tx1"/>
                  </w14:solidFill>
                </w14:textFill>
              </w:rPr>
              <w:t>系数</w:t>
            </w:r>
          </w:p>
        </w:tc>
        <w:tc>
          <w:tcPr>
            <w:tcW w:w="807" w:type="dxa"/>
            <w:tcBorders>
              <w:right w:val="single" w:color="auto" w:sz="4" w:space="0"/>
            </w:tcBorders>
            <w:vAlign w:val="center"/>
          </w:tcPr>
          <w:p>
            <w:pPr>
              <w:pStyle w:val="30"/>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绿地率</w:t>
            </w:r>
          </w:p>
        </w:tc>
        <w:tc>
          <w:tcPr>
            <w:tcW w:w="794" w:type="dxa"/>
            <w:tcBorders>
              <w:left w:val="single" w:color="auto" w:sz="4" w:space="0"/>
              <w:right w:val="single" w:color="auto" w:sz="4" w:space="0"/>
            </w:tcBorders>
            <w:vAlign w:val="center"/>
          </w:tcPr>
          <w:p>
            <w:pPr>
              <w:pStyle w:val="30"/>
              <w:spacing w:line="240" w:lineRule="exact"/>
              <w:jc w:val="center"/>
              <w:rPr>
                <w:rFonts w:hint="eastAsia" w:ascii="仿宋" w:hAnsi="仿宋" w:eastAsia="仿宋"/>
                <w:b/>
                <w:bCs/>
                <w:color w:val="000000" w:themeColor="text1"/>
                <w:sz w:val="18"/>
                <w:szCs w:val="18"/>
                <w:lang w:eastAsia="zh-CN"/>
                <w14:textFill>
                  <w14:solidFill>
                    <w14:schemeClr w14:val="tx1"/>
                  </w14:solidFill>
                </w14:textFill>
              </w:rPr>
            </w:pPr>
            <w:r>
              <w:rPr>
                <w:rFonts w:hint="eastAsia" w:ascii="仿宋" w:hAnsi="仿宋" w:eastAsia="仿宋"/>
                <w:b/>
                <w:bCs/>
                <w:color w:val="000000" w:themeColor="text1"/>
                <w:sz w:val="18"/>
                <w:szCs w:val="18"/>
                <w:lang w:eastAsia="zh-CN"/>
                <w14:textFill>
                  <w14:solidFill>
                    <w14:schemeClr w14:val="tx1"/>
                  </w14:solidFill>
                </w14:textFill>
              </w:rPr>
              <w:t>投资强度</w:t>
            </w:r>
          </w:p>
        </w:tc>
        <w:tc>
          <w:tcPr>
            <w:tcW w:w="630" w:type="dxa"/>
            <w:vMerge w:val="continue"/>
            <w:tcBorders>
              <w:left w:val="single" w:color="auto" w:sz="4" w:space="0"/>
              <w:right w:val="single" w:color="auto" w:sz="4" w:space="0"/>
            </w:tcBorders>
            <w:vAlign w:val="center"/>
          </w:tcPr>
          <w:p>
            <w:pPr>
              <w:pStyle w:val="30"/>
              <w:spacing w:line="240" w:lineRule="exact"/>
              <w:jc w:val="center"/>
              <w:rPr>
                <w:rFonts w:ascii="仿宋" w:hAnsi="仿宋" w:eastAsia="仿宋"/>
                <w:b/>
                <w:bCs/>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0"/>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1</w:t>
            </w:r>
          </w:p>
        </w:tc>
        <w:tc>
          <w:tcPr>
            <w:tcW w:w="742" w:type="dxa"/>
            <w:vAlign w:val="center"/>
          </w:tcPr>
          <w:p>
            <w:pPr>
              <w:spacing w:line="300" w:lineRule="exact"/>
              <w:ind w:left="0" w:leftChars="0" w:firstLine="0" w:firstLineChars="0"/>
              <w:jc w:val="center"/>
              <w:rPr>
                <w:rFonts w:hint="default" w:ascii="仿宋_GB2312" w:hAnsi="宋体" w:eastAsia="仿宋_GB2312" w:cs="宋体"/>
                <w:color w:val="auto"/>
                <w:kern w:val="0"/>
                <w:szCs w:val="21"/>
                <w:lang w:val="en-US"/>
              </w:rPr>
            </w:pPr>
            <w:r>
              <w:rPr>
                <w:rFonts w:hint="eastAsia" w:ascii="仿宋_GB2312" w:hAnsi="宋体" w:eastAsia="仿宋_GB2312" w:cs="宋体"/>
                <w:color w:val="auto"/>
                <w:kern w:val="0"/>
                <w:szCs w:val="21"/>
              </w:rPr>
              <w:t>202</w:t>
            </w:r>
            <w:r>
              <w:rPr>
                <w:rFonts w:hint="eastAsia" w:ascii="仿宋_GB2312" w:hAnsi="宋体" w:eastAsia="仿宋_GB2312" w:cs="宋体"/>
                <w:color w:val="auto"/>
                <w:kern w:val="0"/>
                <w:szCs w:val="21"/>
                <w:lang w:val="en-US" w:eastAsia="zh-CN"/>
              </w:rPr>
              <w:t>3</w:t>
            </w:r>
            <w:r>
              <w:rPr>
                <w:rFonts w:hint="eastAsia" w:ascii="仿宋_GB2312" w:hAnsi="宋体" w:eastAsia="仿宋_GB2312" w:cs="宋体"/>
                <w:color w:val="auto"/>
                <w:kern w:val="0"/>
                <w:szCs w:val="21"/>
              </w:rPr>
              <w:t>G</w:t>
            </w:r>
            <w:r>
              <w:rPr>
                <w:rFonts w:hint="eastAsia" w:ascii="仿宋_GB2312" w:hAnsi="宋体" w:eastAsia="仿宋_GB2312" w:cs="宋体"/>
                <w:color w:val="auto"/>
                <w:kern w:val="0"/>
                <w:szCs w:val="21"/>
                <w:lang w:val="en-US" w:eastAsia="zh-CN"/>
              </w:rPr>
              <w:t>A-46-01</w:t>
            </w:r>
          </w:p>
        </w:tc>
        <w:tc>
          <w:tcPr>
            <w:tcW w:w="883" w:type="dxa"/>
            <w:vAlign w:val="center"/>
          </w:tcPr>
          <w:p>
            <w:pPr>
              <w:spacing w:line="300" w:lineRule="exact"/>
              <w:ind w:left="0" w:leftChars="0" w:firstLine="0" w:firstLineChars="0"/>
              <w:jc w:val="center"/>
              <w:rPr>
                <w:rFonts w:hint="default" w:ascii="仿宋_GB2312" w:hAnsi="宋体" w:eastAsia="仿宋_GB2312" w:cs="宋体"/>
                <w:color w:val="auto"/>
                <w:kern w:val="0"/>
                <w:sz w:val="21"/>
                <w:szCs w:val="21"/>
                <w:lang w:val="en-US" w:eastAsia="zh-CN" w:bidi="ar-SA"/>
              </w:rPr>
            </w:pPr>
            <w:r>
              <w:rPr>
                <w:rFonts w:hint="eastAsia" w:ascii="仿宋_GB2312" w:hAnsi="宋体" w:eastAsia="仿宋_GB2312" w:cs="宋体"/>
                <w:color w:val="auto"/>
                <w:kern w:val="0"/>
                <w:sz w:val="21"/>
                <w:szCs w:val="21"/>
                <w:lang w:val="en-US" w:eastAsia="zh-CN" w:bidi="ar-SA"/>
              </w:rPr>
              <w:t>乌海经济开发区海勃湾工业园综合加工区(海勃湾区)</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652.58平方米（约0.98亩）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工业用地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≤1.5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both"/>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≤45%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≥20%</w:t>
            </w:r>
          </w:p>
        </w:tc>
        <w:tc>
          <w:tcPr>
            <w:tcW w:w="794"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t>≥625万元/亩</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50年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19.2512</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t>19.2512</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7"/>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四、本次挂牌出让的公告时间</w:t>
      </w:r>
      <w:r>
        <w:rPr>
          <w:rFonts w:hint="eastAsia" w:ascii="仿宋" w:hAnsi="仿宋" w:eastAsia="仿宋" w:cs="FangSong_GB2312"/>
          <w:color w:val="auto"/>
          <w:sz w:val="32"/>
          <w:szCs w:val="32"/>
        </w:rPr>
        <w:t>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20</w:t>
      </w:r>
      <w:r>
        <w:rPr>
          <w:rFonts w:hint="eastAsia" w:ascii="仿宋" w:hAnsi="仿宋" w:eastAsia="仿宋" w:cs="FangSong_GB2312"/>
          <w:color w:val="auto"/>
          <w:sz w:val="32"/>
          <w:szCs w:val="32"/>
          <w:highlight w:val="none"/>
        </w:rPr>
        <w:t>日，详细资料和具体要求，以挂牌出让文件为准。申请人可于</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w:t>
      </w:r>
      <w:r>
        <w:rPr>
          <w:rFonts w:hint="eastAsia" w:ascii="仿宋" w:hAnsi="仿宋" w:eastAsia="仿宋" w:cs="FangSong_GB2312"/>
          <w:color w:val="auto"/>
          <w:sz w:val="32"/>
          <w:szCs w:val="32"/>
          <w:highlight w:val="none"/>
        </w:rPr>
        <w:t>日至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7</w:t>
      </w:r>
      <w:r>
        <w:rPr>
          <w:rFonts w:hint="eastAsia" w:ascii="仿宋" w:hAnsi="仿宋" w:eastAsia="仿宋" w:cs="FangSong_GB2312"/>
          <w:color w:val="auto"/>
          <w:sz w:val="32"/>
          <w:szCs w:val="32"/>
          <w:highlight w:val="none"/>
        </w:rPr>
        <w:t>日</w:t>
      </w:r>
      <w:r>
        <w:rPr>
          <w:rFonts w:hint="eastAsia" w:ascii="仿宋" w:hAnsi="仿宋" w:eastAsia="仿宋" w:cs="FangSong_GB2312"/>
          <w:color w:val="auto"/>
          <w:sz w:val="32"/>
          <w:szCs w:val="32"/>
        </w:rPr>
        <w:t>到乌海市公共资源交易中心或登陆</w:t>
      </w:r>
      <w:r>
        <w:rPr>
          <w:rFonts w:hint="eastAsia" w:ascii="仿宋" w:hAnsi="仿宋" w:eastAsia="仿宋" w:cs="FangSong_GB2312"/>
          <w:color w:val="000000" w:themeColor="text1"/>
          <w:sz w:val="32"/>
          <w:szCs w:val="32"/>
          <w14:textFill>
            <w14:solidFill>
              <w14:schemeClr w14:val="tx1"/>
            </w14:solidFill>
          </w14:textFill>
        </w:rPr>
        <w:t>网站（</w:t>
      </w:r>
      <w:r>
        <w:rPr>
          <w:rFonts w:ascii="仿宋" w:hAnsi="仿宋" w:eastAsia="仿宋" w:cs="FangSong_GB2312"/>
          <w:color w:val="000000" w:themeColor="text1"/>
          <w:sz w:val="32"/>
          <w:szCs w:val="32"/>
          <w14:textFill>
            <w14:solidFill>
              <w14:schemeClr w14:val="tx1"/>
            </w14:solidFill>
          </w14:textFill>
        </w:rPr>
        <w:t>http:// zrzy.wuhai.gov.cn/</w:t>
      </w:r>
      <w:r>
        <w:rPr>
          <w:rFonts w:hint="eastAsia" w:ascii="仿宋" w:hAnsi="仿宋" w:eastAsia="仿宋" w:cs="FangSong_GB2312"/>
          <w:color w:val="000000" w:themeColor="text1"/>
          <w:sz w:val="32"/>
          <w:szCs w:val="32"/>
          <w14:textFill>
            <w14:solidFill>
              <w14:schemeClr w14:val="tx1"/>
            </w14:solidFill>
          </w14:textFill>
        </w:rPr>
        <w:t>或</w:t>
      </w:r>
      <w:r>
        <w:rPr>
          <w:rFonts w:ascii="仿宋" w:hAnsi="仿宋" w:eastAsia="仿宋" w:cs="FangSong_GB2312"/>
          <w:color w:val="000000" w:themeColor="text1"/>
          <w:sz w:val="32"/>
          <w:szCs w:val="32"/>
          <w14:textFill>
            <w14:solidFill>
              <w14:schemeClr w14:val="tx1"/>
            </w14:solidFill>
          </w14:textFill>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auto"/>
          <w:sz w:val="32"/>
          <w:szCs w:val="32"/>
        </w:rPr>
      </w:pPr>
      <w:r>
        <w:rPr>
          <w:rFonts w:hint="eastAsia" w:ascii="仿宋" w:hAnsi="仿宋" w:eastAsia="仿宋" w:cs="FangSong_GB2312"/>
          <w:color w:val="000000" w:themeColor="text1"/>
          <w:sz w:val="32"/>
          <w:szCs w:val="32"/>
          <w14:textFill>
            <w14:solidFill>
              <w14:schemeClr w14:val="tx1"/>
            </w14:solidFill>
          </w14:textFill>
        </w:rPr>
        <w:t>五、本次挂牌地点为乌海市公共资源交易中心，</w:t>
      </w:r>
      <w:r>
        <w:rPr>
          <w:rFonts w:hint="eastAsia" w:ascii="仿宋" w:hAnsi="仿宋" w:eastAsia="仿宋" w:cs="FangSong_GB2312"/>
          <w:color w:val="000000" w:themeColor="text1"/>
          <w:sz w:val="32"/>
          <w:szCs w:val="32"/>
          <w:highlight w:val="none"/>
          <w14:textFill>
            <w14:solidFill>
              <w14:schemeClr w14:val="tx1"/>
            </w14:solidFill>
          </w14:textFill>
        </w:rPr>
        <w:t>挂</w:t>
      </w:r>
      <w:r>
        <w:rPr>
          <w:rFonts w:hint="eastAsia" w:ascii="仿宋" w:hAnsi="仿宋" w:eastAsia="仿宋" w:cs="FangSong_GB2312"/>
          <w:color w:val="auto"/>
          <w:sz w:val="32"/>
          <w:szCs w:val="32"/>
          <w:highlight w:val="none"/>
        </w:rPr>
        <w:t>牌时间为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21</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9</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时至</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FangSong_GB2312"/>
          <w:color w:val="auto"/>
          <w:sz w:val="32"/>
          <w:szCs w:val="32"/>
          <w:highlight w:val="none"/>
          <w:lang w:val="en-US" w:eastAsia="zh-CN"/>
        </w:rPr>
        <w:t>10</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r>
        <w:rPr>
          <w:rFonts w:hint="eastAsia" w:ascii="仿宋" w:hAnsi="仿宋" w:eastAsia="仿宋" w:cs="FangSong_GB2312"/>
          <w:color w:val="auto"/>
          <w:sz w:val="32"/>
          <w:szCs w:val="32"/>
        </w:rPr>
        <w:t>（不包括法定节假日）。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auto"/>
          <w:sz w:val="32"/>
          <w:szCs w:val="32"/>
        </w:rPr>
        <w:t>六、本次土地挂牌出让采用网上竞买申请的方式。竞买人在报</w:t>
      </w:r>
      <w:r>
        <w:rPr>
          <w:rFonts w:hint="eastAsia" w:ascii="仿宋" w:hAnsi="仿宋" w:eastAsia="仿宋" w:cs="FangSong_GB2312"/>
          <w:color w:val="000000" w:themeColor="text1"/>
          <w:sz w:val="32"/>
          <w:szCs w:val="32"/>
          <w14:textFill>
            <w14:solidFill>
              <w14:schemeClr w14:val="tx1"/>
            </w14:solidFill>
          </w14:textFill>
        </w:rPr>
        <w:t>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交纳竞买保证金的截止</w:t>
      </w:r>
      <w:r>
        <w:rPr>
          <w:rFonts w:hint="eastAsia" w:ascii="仿宋" w:hAnsi="仿宋" w:eastAsia="仿宋" w:cs="FangSong_GB2312"/>
          <w:color w:val="auto"/>
          <w:sz w:val="32"/>
          <w:szCs w:val="32"/>
        </w:rPr>
        <w:t>时间为</w:t>
      </w: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仿宋"/>
          <w:bCs/>
          <w:color w:val="auto"/>
          <w:sz w:val="32"/>
          <w:szCs w:val="32"/>
          <w:highlight w:val="none"/>
          <w:lang w:val="en-US" w:eastAsia="zh-CN"/>
        </w:rPr>
        <w:t>10</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7</w:t>
      </w:r>
      <w:r>
        <w:rPr>
          <w:rFonts w:hint="eastAsia" w:ascii="仿宋" w:hAnsi="仿宋" w:eastAsia="仿宋" w:cs="FangSong_GB2312"/>
          <w:color w:val="auto"/>
          <w:sz w:val="32"/>
          <w:szCs w:val="32"/>
          <w:highlight w:val="none"/>
        </w:rPr>
        <w:t>日</w:t>
      </w:r>
      <w:r>
        <w:rPr>
          <w:rFonts w:ascii="仿宋" w:hAnsi="仿宋" w:eastAsia="仿宋" w:cs="FangSong_GB2312"/>
          <w:color w:val="auto"/>
          <w:sz w:val="32"/>
          <w:szCs w:val="32"/>
          <w:highlight w:val="none"/>
        </w:rPr>
        <w:t>16</w:t>
      </w:r>
      <w:r>
        <w:rPr>
          <w:rFonts w:hint="eastAsia" w:ascii="仿宋" w:hAnsi="仿宋" w:eastAsia="仿宋" w:cs="FangSong_GB2312"/>
          <w:color w:val="auto"/>
          <w:sz w:val="32"/>
          <w:szCs w:val="32"/>
          <w:highlight w:val="none"/>
        </w:rPr>
        <w:t>：</w:t>
      </w:r>
      <w:r>
        <w:rPr>
          <w:rFonts w:ascii="仿宋" w:hAnsi="仿宋" w:eastAsia="仿宋" w:cs="FangSong_GB2312"/>
          <w:color w:val="auto"/>
          <w:sz w:val="32"/>
          <w:szCs w:val="32"/>
          <w:highlight w:val="none"/>
        </w:rPr>
        <w:t>00</w:t>
      </w:r>
      <w:r>
        <w:rPr>
          <w:rFonts w:hint="eastAsia" w:ascii="仿宋" w:hAnsi="仿宋" w:eastAsia="仿宋" w:cs="FangSong_GB2312"/>
          <w:color w:val="auto"/>
          <w:sz w:val="32"/>
          <w:szCs w:val="32"/>
          <w:highlight w:val="none"/>
        </w:rPr>
        <w:t>时。</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http://www.whggzy.com</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19"/>
          <w:rFonts w:ascii="仿宋" w:hAnsi="仿宋" w:eastAsia="仿宋" w:cs="FangSong_GB2312"/>
          <w:color w:val="000000" w:themeColor="text1"/>
          <w:sz w:val="32"/>
          <w:szCs w:val="32"/>
          <w:u w:val="none"/>
          <w14:textFill>
            <w14:solidFill>
              <w14:schemeClr w14:val="tx1"/>
            </w14:solidFill>
          </w14:textFill>
        </w:rPr>
        <w:t>http://ggzyjy.nmg.gov.cn/</w:t>
      </w:r>
      <w:r>
        <w:rPr>
          <w:rStyle w:val="19"/>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auto"/>
          <w:sz w:val="32"/>
          <w:szCs w:val="32"/>
          <w:lang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分局联系人:</w:t>
      </w:r>
      <w:r>
        <w:rPr>
          <w:rFonts w:hint="eastAsia" w:ascii="仿宋" w:hAnsi="仿宋" w:eastAsia="仿宋"/>
          <w:color w:val="auto"/>
          <w:sz w:val="32"/>
          <w:szCs w:val="32"/>
          <w:lang w:eastAsia="zh-CN"/>
        </w:rPr>
        <w:t>张闻天</w:t>
      </w:r>
    </w:p>
    <w:p>
      <w:pPr>
        <w:spacing w:line="560" w:lineRule="exact"/>
        <w:ind w:firstLine="1280" w:firstLineChars="400"/>
        <w:jc w:val="left"/>
        <w:textAlignment w:val="baseline"/>
        <w:rPr>
          <w:rStyle w:val="17"/>
          <w:rFonts w:hint="default" w:ascii="仿宋" w:hAnsi="仿宋" w:eastAsia="仿宋"/>
          <w:b w:val="0"/>
          <w:color w:val="auto"/>
          <w:sz w:val="32"/>
          <w:szCs w:val="32"/>
          <w:lang w:val="en-US" w:eastAsia="zh-CN"/>
        </w:rPr>
      </w:pPr>
      <w:r>
        <w:rPr>
          <w:rFonts w:hint="eastAsia" w:ascii="仿宋" w:hAnsi="仿宋" w:eastAsia="仿宋"/>
          <w:color w:val="auto"/>
          <w:sz w:val="32"/>
          <w:szCs w:val="32"/>
        </w:rPr>
        <w:t>乌海市自然资源局</w:t>
      </w:r>
      <w:r>
        <w:rPr>
          <w:rFonts w:hint="eastAsia" w:ascii="仿宋" w:hAnsi="仿宋" w:eastAsia="仿宋"/>
          <w:color w:val="auto"/>
          <w:sz w:val="32"/>
          <w:szCs w:val="32"/>
          <w:lang w:eastAsia="zh-CN"/>
        </w:rPr>
        <w:t>海勃湾</w:t>
      </w:r>
      <w:r>
        <w:rPr>
          <w:rFonts w:hint="eastAsia" w:ascii="仿宋" w:hAnsi="仿宋" w:eastAsia="仿宋"/>
          <w:color w:val="auto"/>
          <w:sz w:val="32"/>
          <w:szCs w:val="32"/>
        </w:rPr>
        <w:t>分局联系电话:0473-</w:t>
      </w:r>
      <w:r>
        <w:rPr>
          <w:rFonts w:hint="eastAsia" w:ascii="仿宋" w:hAnsi="仿宋" w:eastAsia="仿宋"/>
          <w:color w:val="auto"/>
          <w:sz w:val="32"/>
          <w:szCs w:val="32"/>
          <w:lang w:val="en-US" w:eastAsia="zh-CN"/>
        </w:rPr>
        <w:t>6995512</w:t>
      </w:r>
    </w:p>
    <w:p>
      <w:pPr>
        <w:spacing w:line="560" w:lineRule="exact"/>
        <w:ind w:firstLine="1280" w:firstLineChars="400"/>
        <w:jc w:val="right"/>
        <w:textAlignment w:val="baseline"/>
        <w:rPr>
          <w:rFonts w:ascii="仿宋" w:hAnsi="仿宋" w:eastAsia="仿宋"/>
          <w:color w:val="auto"/>
          <w:sz w:val="32"/>
          <w:szCs w:val="32"/>
        </w:rPr>
      </w:pPr>
    </w:p>
    <w:p>
      <w:pPr>
        <w:spacing w:line="560" w:lineRule="exact"/>
        <w:ind w:firstLine="1280" w:firstLineChars="400"/>
        <w:jc w:val="right"/>
        <w:textAlignment w:val="baseline"/>
        <w:rPr>
          <w:rFonts w:ascii="仿宋" w:hAnsi="仿宋" w:eastAsia="仿宋"/>
          <w:color w:val="auto"/>
          <w:sz w:val="32"/>
          <w:szCs w:val="32"/>
          <w:highlight w:val="none"/>
        </w:rPr>
      </w:pPr>
      <w:r>
        <w:rPr>
          <w:rFonts w:hint="eastAsia" w:ascii="仿宋" w:hAnsi="仿宋" w:eastAsia="仿宋"/>
          <w:color w:val="auto"/>
          <w:sz w:val="32"/>
          <w:szCs w:val="32"/>
        </w:rPr>
        <w:t>乌海</w:t>
      </w:r>
      <w:r>
        <w:rPr>
          <w:rFonts w:hint="eastAsia" w:ascii="仿宋" w:hAnsi="仿宋" w:eastAsia="仿宋"/>
          <w:color w:val="auto"/>
          <w:sz w:val="32"/>
          <w:szCs w:val="32"/>
          <w:highlight w:val="none"/>
        </w:rPr>
        <w:t>市公共资源交易中心</w:t>
      </w:r>
    </w:p>
    <w:p>
      <w:pPr>
        <w:spacing w:line="560" w:lineRule="exact"/>
        <w:ind w:firstLine="1280" w:firstLineChars="400"/>
        <w:jc w:val="right"/>
        <w:textAlignment w:val="baseline"/>
        <w:rPr>
          <w:rFonts w:ascii="仿宋" w:hAnsi="仿宋" w:eastAsia="仿宋"/>
          <w:color w:val="auto"/>
          <w:sz w:val="32"/>
          <w:szCs w:val="32"/>
          <w:highlight w:val="yellow"/>
        </w:rPr>
      </w:pPr>
      <w:r>
        <w:rPr>
          <w:rFonts w:hint="eastAsia" w:ascii="仿宋" w:hAnsi="仿宋" w:eastAsia="仿宋"/>
          <w:color w:val="auto"/>
          <w:sz w:val="32"/>
          <w:szCs w:val="32"/>
          <w:highlight w:val="none"/>
        </w:rPr>
        <w:t xml:space="preserve">                               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 xml:space="preserve">日 </w:t>
      </w:r>
    </w:p>
    <w:p>
      <w:pPr>
        <w:spacing w:line="538" w:lineRule="exact"/>
        <w:ind w:left="0" w:firstLine="0"/>
        <w:jc w:val="center"/>
        <w:textAlignment w:val="baseline"/>
        <w:rPr>
          <w:rFonts w:ascii="微软雅黑" w:hAnsi="仿宋" w:eastAsia="微软雅黑" w:cs="微软雅黑"/>
          <w:color w:val="auto"/>
          <w:sz w:val="44"/>
          <w:szCs w:val="44"/>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both"/>
        <w:textAlignment w:val="baseline"/>
        <w:rPr>
          <w:rFonts w:ascii="微软雅黑" w:hAnsi="仿宋" w:eastAsia="微软雅黑" w:cs="微软雅黑"/>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bookmarkStart w:id="0" w:name="_GoBack"/>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auto"/>
          <w:sz w:val="32"/>
          <w:szCs w:val="32"/>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w:t>
      </w:r>
      <w:r>
        <w:rPr>
          <w:rFonts w:hint="eastAsia" w:ascii="仿宋" w:hAnsi="仿宋" w:eastAsia="仿宋"/>
          <w:color w:val="auto"/>
          <w:sz w:val="32"/>
          <w:szCs w:val="32"/>
        </w:rPr>
        <w:t>标拍卖挂牌出让国有土地使用权规范》等有关规定，经乌海市</w:t>
      </w:r>
      <w:r>
        <w:rPr>
          <w:rFonts w:hint="eastAsia" w:ascii="仿宋" w:hAnsi="仿宋" w:eastAsia="仿宋"/>
          <w:color w:val="auto"/>
          <w:sz w:val="32"/>
          <w:szCs w:val="32"/>
          <w:lang w:eastAsia="zh-CN"/>
        </w:rPr>
        <w:t>海勃湾区</w:t>
      </w:r>
      <w:r>
        <w:rPr>
          <w:rFonts w:hint="eastAsia" w:ascii="仿宋" w:hAnsi="仿宋" w:eastAsia="仿宋"/>
          <w:color w:val="auto"/>
          <w:sz w:val="32"/>
          <w:szCs w:val="32"/>
        </w:rPr>
        <w:t>人民政府批准，乌海市自然资源局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分局以挂牌方式出让</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宗地块的国有建设用地使用权。</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一、本次国有建设用地使用权挂牌出让的出让人为乌海市自然资源局</w:t>
      </w:r>
      <w:r>
        <w:rPr>
          <w:rFonts w:hint="eastAsia" w:ascii="仿宋" w:hAnsi="仿宋" w:eastAsia="仿宋"/>
          <w:color w:val="auto"/>
          <w:sz w:val="32"/>
          <w:szCs w:val="32"/>
          <w:lang w:val="en-US" w:eastAsia="zh-CN"/>
        </w:rPr>
        <w:t>海勃湾</w:t>
      </w:r>
      <w:r>
        <w:rPr>
          <w:rFonts w:hint="eastAsia" w:ascii="仿宋" w:hAnsi="仿宋" w:eastAsia="仿宋"/>
          <w:color w:val="auto"/>
          <w:sz w:val="32"/>
          <w:szCs w:val="32"/>
        </w:rPr>
        <w:t>分局，具体组织实施由乌海市公共资源交易中心负责。</w:t>
      </w:r>
    </w:p>
    <w:p>
      <w:pPr>
        <w:spacing w:line="540" w:lineRule="exact"/>
        <w:ind w:left="0" w:firstLine="640" w:firstLineChars="200"/>
        <w:rPr>
          <w:rFonts w:ascii="仿宋" w:hAnsi="仿宋" w:eastAsia="仿宋"/>
          <w:color w:val="auto"/>
          <w:sz w:val="32"/>
          <w:szCs w:val="32"/>
        </w:rPr>
      </w:pPr>
      <w:r>
        <w:rPr>
          <w:rFonts w:hint="eastAsia" w:ascii="仿宋" w:hAnsi="仿宋" w:eastAsia="仿宋"/>
          <w:color w:val="auto"/>
          <w:sz w:val="32"/>
          <w:szCs w:val="32"/>
        </w:rPr>
        <w:t>二、本次国有建设用地使用权挂牌出让遵循公开、公平、公正和诚实信用的原则。</w:t>
      </w:r>
    </w:p>
    <w:p>
      <w:pPr>
        <w:spacing w:line="540" w:lineRule="exact"/>
        <w:ind w:left="0" w:firstLine="640" w:firstLineChars="200"/>
        <w:rPr>
          <w:rFonts w:hint="eastAsia" w:ascii="仿宋" w:hAnsi="仿宋" w:eastAsia="仿宋" w:cs="仿宋"/>
          <w:sz w:val="32"/>
          <w:szCs w:val="32"/>
          <w:highlight w:val="none"/>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（一）地块位置：乌海经济开发区海勃湾工业园综合加工区；</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（二）出让面积：652.58</w:t>
      </w:r>
      <w:r>
        <w:rPr>
          <w:rFonts w:hint="eastAsia" w:ascii="仿宋" w:hAnsi="仿宋" w:eastAsia="仿宋"/>
          <w:kern w:val="0"/>
          <w:sz w:val="32"/>
          <w:szCs w:val="32"/>
          <w:lang w:val="en-US" w:eastAsia="zh-CN"/>
        </w:rPr>
        <w:t>平方米（约0.98亩）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sz w:val="32"/>
          <w:szCs w:val="32"/>
          <w:highlight w:val="none"/>
          <w:lang w:eastAsia="zh-CN"/>
        </w:rPr>
        <w:t>工业用地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（四）使用年期：50年；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sz w:val="32"/>
          <w:szCs w:val="32"/>
          <w:highlight w:val="none"/>
          <w:lang w:eastAsia="zh-CN"/>
        </w:rPr>
        <w:t>物流仓储用地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系数</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45%</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（十一）投资强度：≥625万元/亩；</w:t>
      </w:r>
    </w:p>
    <w:p>
      <w:pPr>
        <w:keepNext w:val="0"/>
        <w:keepLines w:val="0"/>
        <w:pageBreakBefore w:val="0"/>
        <w:kinsoku/>
        <w:wordWrap/>
        <w:overflowPunct/>
        <w:topLinePunct w:val="0"/>
        <w:autoSpaceDE/>
        <w:autoSpaceDN/>
        <w:bidi w:val="0"/>
        <w:spacing w:line="600" w:lineRule="exact"/>
        <w:ind w:firstLine="624"/>
        <w:textAlignment w:val="baseline"/>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（十二）</w:t>
      </w:r>
      <w:r>
        <w:rPr>
          <w:rFonts w:hint="eastAsia" w:ascii="仿宋" w:hAnsi="仿宋" w:eastAsia="仿宋" w:cs="仿宋"/>
          <w:color w:val="000000" w:themeColor="text1"/>
          <w:sz w:val="32"/>
          <w:szCs w:val="32"/>
          <w:highlight w:val="none"/>
          <w14:textFill>
            <w14:solidFill>
              <w14:schemeClr w14:val="tx1"/>
            </w14:solidFill>
          </w14:textFill>
        </w:rPr>
        <w:t>建筑退线要求：</w:t>
      </w:r>
      <w:r>
        <w:rPr>
          <w:rFonts w:hint="eastAsia" w:ascii="仿宋" w:hAnsi="仿宋" w:eastAsia="仿宋" w:cs="仿宋"/>
          <w:sz w:val="32"/>
          <w:szCs w:val="32"/>
          <w:highlight w:val="none"/>
        </w:rPr>
        <w:t>满足规划设计条件要求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（十三）</w:t>
      </w:r>
      <w:r>
        <w:rPr>
          <w:rFonts w:hint="eastAsia" w:ascii="仿宋" w:hAnsi="仿宋" w:eastAsia="仿宋" w:cs="仿宋"/>
          <w:sz w:val="32"/>
          <w:szCs w:val="32"/>
          <w:highlight w:val="none"/>
        </w:rPr>
        <w:t>出让地块的空间范围须符合城市规划管理的有关要求</w:t>
      </w:r>
      <w:r>
        <w:rPr>
          <w:rFonts w:hint="eastAsia" w:ascii="仿宋" w:hAnsi="仿宋" w:eastAsia="仿宋" w:cs="仿宋"/>
          <w:color w:val="000000" w:themeColor="text1"/>
          <w:sz w:val="32"/>
          <w:szCs w:val="32"/>
          <w:highlight w:val="none"/>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（十四）</w:t>
      </w:r>
      <w:r>
        <w:rPr>
          <w:rFonts w:hint="eastAsia" w:ascii="仿宋" w:hAnsi="仿宋" w:eastAsia="仿宋" w:cs="仿宋"/>
          <w:color w:val="000000" w:themeColor="text1"/>
          <w:sz w:val="32"/>
          <w:szCs w:val="32"/>
          <w:highlight w:val="none"/>
          <w14:textFill>
            <w14:solidFill>
              <w14:schemeClr w14:val="tx1"/>
            </w14:solidFill>
          </w14:textFill>
        </w:rPr>
        <w:t>其他规划要求以规划条件书为准。</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（十五）</w:t>
      </w:r>
      <w:r>
        <w:rPr>
          <w:rFonts w:hint="eastAsia" w:ascii="仿宋" w:hAnsi="仿宋" w:eastAsia="仿宋" w:cs="仿宋"/>
          <w:sz w:val="32"/>
          <w:szCs w:val="32"/>
          <w:highlight w:val="none"/>
        </w:rPr>
        <w:t>该地块用地范围属于</w:t>
      </w:r>
      <w:r>
        <w:rPr>
          <w:rFonts w:hint="eastAsia" w:ascii="仿宋" w:hAnsi="仿宋" w:eastAsia="仿宋" w:cs="仿宋"/>
          <w:sz w:val="32"/>
          <w:szCs w:val="32"/>
          <w:highlight w:val="none"/>
          <w:lang w:val="en-US" w:eastAsia="zh-CN"/>
        </w:rPr>
        <w:t>2022年第二十三批次的报批范围内（</w:t>
      </w:r>
      <w:r>
        <w:rPr>
          <w:rFonts w:hint="eastAsia" w:ascii="仿宋" w:hAnsi="仿宋" w:eastAsia="仿宋" w:cs="仿宋"/>
          <w:sz w:val="32"/>
          <w:szCs w:val="32"/>
          <w:highlight w:val="none"/>
        </w:rPr>
        <w:t>内政土发〔20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536</w:t>
      </w:r>
      <w:r>
        <w:rPr>
          <w:rFonts w:hint="eastAsia" w:ascii="仿宋" w:hAnsi="仿宋" w:eastAsia="仿宋" w:cs="仿宋"/>
          <w:sz w:val="32"/>
          <w:szCs w:val="32"/>
          <w:highlight w:val="none"/>
        </w:rPr>
        <w:t>号</w:t>
      </w:r>
      <w:r>
        <w:rPr>
          <w:rFonts w:hint="eastAsia" w:ascii="仿宋" w:hAnsi="仿宋" w:eastAsia="仿宋" w:cs="仿宋"/>
          <w:sz w:val="32"/>
          <w:szCs w:val="32"/>
          <w:highlight w:val="none"/>
          <w:lang w:val="en-US" w:eastAsia="zh-CN"/>
        </w:rPr>
        <w:t>）。未批先建属违法用地，现按现状挂牌</w:t>
      </w:r>
      <w:r>
        <w:rPr>
          <w:rFonts w:hint="eastAsia" w:ascii="仿宋" w:hAnsi="仿宋" w:eastAsia="仿宋" w:cs="仿宋"/>
          <w:sz w:val="32"/>
          <w:szCs w:val="32"/>
          <w:highlight w:val="none"/>
          <w:lang w:eastAsia="zh-CN"/>
        </w:rPr>
        <w:t>出让</w:t>
      </w:r>
      <w:r>
        <w:rPr>
          <w:rFonts w:hint="eastAsia" w:ascii="仿宋" w:hAnsi="仿宋" w:eastAsia="仿宋" w:cs="仿宋"/>
          <w:sz w:val="32"/>
          <w:szCs w:val="32"/>
          <w:highlight w:val="none"/>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该出让地块范围内如有树木、供电设施等，受让人可结合规划设计方案保留，对不需要保留的，由受让人自行与有关部门解决，并承担所需费用。如需要考古或地下有构筑物、其他设施等，由受让人自行与有关部门协商解决，并承担所需费用。</w:t>
      </w:r>
    </w:p>
    <w:p>
      <w:pPr>
        <w:spacing w:line="538" w:lineRule="exact"/>
        <w:ind w:left="0"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（十六）</w:t>
      </w:r>
      <w:r>
        <w:rPr>
          <w:rFonts w:hint="eastAsia" w:ascii="仿宋" w:hAnsi="仿宋" w:eastAsia="仿宋" w:cs="仿宋"/>
          <w:sz w:val="32"/>
          <w:szCs w:val="32"/>
          <w:highlight w:val="none"/>
        </w:rPr>
        <w:t>其他要求：出让地块的空间范围须符合城市规划管理的有关要求，必须严格按照《内蒙古自治区建设用地规划条件书》（条字第：</w:t>
      </w:r>
      <w:r>
        <w:rPr>
          <w:rFonts w:hint="eastAsia" w:ascii="仿宋" w:hAnsi="仿宋" w:eastAsia="仿宋" w:cs="Times New Roman"/>
          <w:sz w:val="30"/>
          <w:szCs w:val="30"/>
          <w:highlight w:val="none"/>
        </w:rPr>
        <w:t>150302202</w:t>
      </w:r>
      <w:r>
        <w:rPr>
          <w:rFonts w:hint="eastAsia" w:ascii="仿宋" w:hAnsi="仿宋" w:eastAsia="仿宋" w:cs="Times New Roman"/>
          <w:sz w:val="30"/>
          <w:szCs w:val="30"/>
          <w:highlight w:val="none"/>
          <w:lang w:val="en-US" w:eastAsia="zh-CN"/>
        </w:rPr>
        <w:t>3</w:t>
      </w:r>
      <w:r>
        <w:rPr>
          <w:rFonts w:hint="eastAsia" w:ascii="仿宋" w:hAnsi="仿宋" w:eastAsia="仿宋" w:cs="Times New Roman"/>
          <w:sz w:val="30"/>
          <w:szCs w:val="30"/>
          <w:highlight w:val="none"/>
        </w:rPr>
        <w:t>000</w:t>
      </w:r>
      <w:r>
        <w:rPr>
          <w:rFonts w:hint="eastAsia" w:ascii="仿宋" w:hAnsi="仿宋" w:eastAsia="仿宋" w:cs="Times New Roman"/>
          <w:sz w:val="30"/>
          <w:szCs w:val="30"/>
          <w:highlight w:val="none"/>
          <w:lang w:val="en-US" w:eastAsia="zh-CN"/>
        </w:rPr>
        <w:t>89</w:t>
      </w:r>
      <w:r>
        <w:rPr>
          <w:rFonts w:hint="eastAsia" w:ascii="仿宋" w:hAnsi="仿宋" w:eastAsia="仿宋" w:cs="仿宋"/>
          <w:sz w:val="32"/>
          <w:szCs w:val="32"/>
          <w:highlight w:val="none"/>
        </w:rPr>
        <w:t>号）的有关要求进行建设。</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交纳竞买保证金的</w:t>
      </w:r>
      <w:r>
        <w:rPr>
          <w:rFonts w:hint="eastAsia" w:ascii="仿宋" w:hAnsi="仿宋" w:eastAsia="仿宋"/>
          <w:color w:val="auto"/>
          <w:sz w:val="32"/>
          <w:szCs w:val="32"/>
        </w:rPr>
        <w:t>截止时间为</w:t>
      </w:r>
      <w:r>
        <w:rPr>
          <w:rFonts w:hint="eastAsia" w:ascii="仿宋" w:hAnsi="仿宋" w:eastAsia="仿宋"/>
          <w:color w:val="auto"/>
          <w:sz w:val="32"/>
          <w:szCs w:val="32"/>
          <w:highlight w:val="none"/>
        </w:rPr>
        <w:t>202</w:t>
      </w:r>
      <w:r>
        <w:rPr>
          <w:rFonts w:hint="eastAsia" w:ascii="仿宋" w:hAnsi="仿宋" w:eastAsia="仿宋"/>
          <w:color w:val="auto"/>
          <w:sz w:val="32"/>
          <w:szCs w:val="32"/>
          <w:highlight w:val="none"/>
          <w:lang w:val="en-US" w:eastAsia="zh-CN"/>
        </w:rPr>
        <w:t>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10</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日16：00时。</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地块一：19.2512</w:t>
      </w:r>
      <w:r>
        <w:rPr>
          <w:rFonts w:hint="eastAsia" w:ascii="仿宋" w:hAnsi="仿宋" w:eastAsia="仿宋" w:cs="仿宋"/>
          <w:sz w:val="32"/>
          <w:szCs w:val="32"/>
          <w:highlight w:val="none"/>
          <w:lang w:val="en-US" w:eastAsia="zh-CN"/>
        </w:rPr>
        <w:t>万元（壹拾玖万贰仟伍佰壹拾贰元整）</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地块一：19.2512</w:t>
      </w:r>
      <w:r>
        <w:rPr>
          <w:rFonts w:hint="eastAsia" w:ascii="仿宋" w:hAnsi="仿宋" w:eastAsia="仿宋" w:cs="仿宋"/>
          <w:sz w:val="32"/>
          <w:szCs w:val="32"/>
          <w:highlight w:val="none"/>
          <w:lang w:val="en-US" w:eastAsia="zh-CN"/>
        </w:rPr>
        <w:t>万元（壹拾玖万贰仟伍佰壹拾贰元整）</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增价幅度为每竞价一次增加人民币1万元（壹万元）；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7"/>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7"/>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7"/>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7"/>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7"/>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7"/>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7"/>
          <w:rFonts w:ascii="仿宋" w:hAnsi="仿宋" w:eastAsia="仿宋"/>
          <w:b w:val="0"/>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both"/>
        <w:rPr>
          <w:rStyle w:val="17"/>
          <w:rFonts w:ascii="仿宋" w:hAnsi="仿宋" w:eastAsia="仿宋"/>
          <w:b w:val="0"/>
          <w:color w:val="000000" w:themeColor="text1"/>
          <w:sz w:val="32"/>
          <w:szCs w:val="32"/>
          <w14:textFill>
            <w14:solidFill>
              <w14:schemeClr w14:val="tx1"/>
            </w14:solidFill>
          </w14:textFill>
        </w:rPr>
      </w:pPr>
    </w:p>
    <w:p>
      <w:pPr>
        <w:pStyle w:val="12"/>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7"/>
          <w:rFonts w:hint="eastAsia" w:ascii="仿宋" w:hAnsi="仿宋" w:eastAsia="仿宋"/>
          <w:b w:val="0"/>
          <w:color w:val="000000" w:themeColor="text1"/>
          <w:sz w:val="32"/>
          <w:szCs w:val="32"/>
          <w14:textFill>
            <w14:solidFill>
              <w14:schemeClr w14:val="tx1"/>
            </w14:solidFill>
          </w14:textFill>
        </w:rPr>
        <w:t>乌海市公共资源交易中心</w:t>
      </w:r>
    </w:p>
    <w:p>
      <w:pPr>
        <w:pStyle w:val="12"/>
        <w:shd w:val="clear" w:color="auto" w:fill="FFFFFF"/>
        <w:spacing w:before="0" w:beforeAutospacing="0" w:after="0" w:afterAutospacing="0" w:line="540" w:lineRule="exact"/>
        <w:ind w:firstLine="6560" w:firstLineChars="2050"/>
        <w:jc w:val="both"/>
        <w:rPr>
          <w:rFonts w:ascii="仿宋" w:hAnsi="仿宋" w:eastAsia="仿宋"/>
          <w:color w:val="auto"/>
          <w:sz w:val="32"/>
          <w:szCs w:val="32"/>
          <w:highlight w:val="none"/>
        </w:rPr>
      </w:pPr>
      <w:r>
        <w:rPr>
          <w:rFonts w:ascii="仿宋" w:hAnsi="仿宋" w:eastAsia="仿宋" w:cs="FangSong_GB2312"/>
          <w:color w:val="auto"/>
          <w:sz w:val="32"/>
          <w:szCs w:val="32"/>
          <w:highlight w:val="none"/>
        </w:rPr>
        <w:t>202</w:t>
      </w:r>
      <w:r>
        <w:rPr>
          <w:rFonts w:hint="eastAsia" w:ascii="仿宋" w:hAnsi="仿宋" w:eastAsia="仿宋" w:cs="FangSong_GB2312"/>
          <w:color w:val="auto"/>
          <w:sz w:val="32"/>
          <w:szCs w:val="32"/>
          <w:highlight w:val="none"/>
          <w:lang w:val="en-US" w:eastAsia="zh-CN"/>
        </w:rPr>
        <w:t>3</w:t>
      </w:r>
      <w:r>
        <w:rPr>
          <w:rFonts w:hint="eastAsia" w:ascii="仿宋" w:hAnsi="仿宋" w:eastAsia="仿宋" w:cs="FangSong_GB2312"/>
          <w:color w:val="auto"/>
          <w:sz w:val="32"/>
          <w:szCs w:val="32"/>
          <w:highlight w:val="none"/>
        </w:rPr>
        <w:t>年</w:t>
      </w:r>
      <w:r>
        <w:rPr>
          <w:rFonts w:hint="eastAsia" w:ascii="仿宋" w:hAnsi="仿宋" w:eastAsia="仿宋" w:cs="FangSong_GB2312"/>
          <w:color w:val="auto"/>
          <w:sz w:val="32"/>
          <w:szCs w:val="32"/>
          <w:highlight w:val="none"/>
          <w:lang w:val="en-US" w:eastAsia="zh-CN"/>
        </w:rPr>
        <w:t>9</w:t>
      </w:r>
      <w:r>
        <w:rPr>
          <w:rFonts w:hint="eastAsia" w:ascii="仿宋" w:hAnsi="仿宋" w:eastAsia="仿宋" w:cs="FangSong_GB2312"/>
          <w:color w:val="auto"/>
          <w:sz w:val="32"/>
          <w:szCs w:val="32"/>
          <w:highlight w:val="none"/>
        </w:rPr>
        <w:t>月</w:t>
      </w:r>
      <w:r>
        <w:rPr>
          <w:rFonts w:hint="eastAsia" w:ascii="仿宋" w:hAnsi="仿宋" w:eastAsia="仿宋" w:cs="仿宋"/>
          <w:bCs/>
          <w:color w:val="auto"/>
          <w:sz w:val="32"/>
          <w:szCs w:val="32"/>
          <w:highlight w:val="none"/>
          <w:lang w:val="en-US" w:eastAsia="zh-CN"/>
        </w:rPr>
        <w:t>1</w:t>
      </w:r>
      <w:r>
        <w:rPr>
          <w:rFonts w:hint="eastAsia" w:ascii="仿宋" w:hAnsi="仿宋" w:eastAsia="仿宋" w:cs="FangSong_GB2312"/>
          <w:color w:val="auto"/>
          <w:sz w:val="32"/>
          <w:szCs w:val="32"/>
          <w:highlight w:val="none"/>
        </w:rPr>
        <w:t>日</w:t>
      </w:r>
    </w:p>
    <w:p>
      <w:pPr>
        <w:pStyle w:val="12"/>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bookmarkEnd w:id="0"/>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FDC16FD-B268-43C7-846B-5911158D4A9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82A0907F-4C9E-449B-B336-21746BA267E6}"/>
  </w:font>
  <w:font w:name="FangSong_GB2312">
    <w:altName w:val="仿宋_GB2312"/>
    <w:panose1 w:val="02010609060101010101"/>
    <w:charset w:val="00"/>
    <w:family w:val="roman"/>
    <w:pitch w:val="default"/>
    <w:sig w:usb0="00000000" w:usb1="00000000" w:usb2="00000000" w:usb3="00000000" w:csb0="00000000" w:csb1="00000000"/>
    <w:embedRegular r:id="rId3" w:fontKey="{C82FA434-AA3F-49E9-A040-D0BDCE23D2E5}"/>
  </w:font>
  <w:font w:name="FangSong_GB2312falt">
    <w:altName w:val="微软雅黑"/>
    <w:panose1 w:val="00000000000000000000"/>
    <w:charset w:val="86"/>
    <w:family w:val="modern"/>
    <w:pitch w:val="default"/>
    <w:sig w:usb0="00000000" w:usb1="00000000" w:usb2="00000010" w:usb3="00000000" w:csb0="00040000" w:csb1="00000000"/>
    <w:embedRegular r:id="rId4" w:fontKey="{603B6302-13A7-4874-9F31-71EBD3C51F72}"/>
  </w:font>
  <w:font w:name="仿宋_GB2312">
    <w:panose1 w:val="02010609030101010101"/>
    <w:charset w:val="86"/>
    <w:family w:val="auto"/>
    <w:pitch w:val="default"/>
    <w:sig w:usb0="00000001" w:usb1="080E0000" w:usb2="00000000" w:usb3="00000000" w:csb0="00040000" w:csb1="00000000"/>
    <w:embedRegular r:id="rId5" w:fontKey="{5FDE7DB8-97F5-468C-AF98-37ED5C946C4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6" w:fontKey="{BCE90E94-4955-4495-9762-7779D1D8E0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130D"/>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1FF4EDD"/>
    <w:rsid w:val="02233B6D"/>
    <w:rsid w:val="024600CB"/>
    <w:rsid w:val="028B18FB"/>
    <w:rsid w:val="029A7C8F"/>
    <w:rsid w:val="02A1111E"/>
    <w:rsid w:val="02DE5ECF"/>
    <w:rsid w:val="02E903CF"/>
    <w:rsid w:val="03012EB6"/>
    <w:rsid w:val="030C2C1F"/>
    <w:rsid w:val="034F46D6"/>
    <w:rsid w:val="03A82039"/>
    <w:rsid w:val="03E05C76"/>
    <w:rsid w:val="03FD0E3E"/>
    <w:rsid w:val="040F0053"/>
    <w:rsid w:val="041059C0"/>
    <w:rsid w:val="04115814"/>
    <w:rsid w:val="04194CE4"/>
    <w:rsid w:val="044E1C2B"/>
    <w:rsid w:val="044E3AFD"/>
    <w:rsid w:val="04640655"/>
    <w:rsid w:val="048A0CB8"/>
    <w:rsid w:val="049A3763"/>
    <w:rsid w:val="04BC5D9C"/>
    <w:rsid w:val="051C6224"/>
    <w:rsid w:val="052851DF"/>
    <w:rsid w:val="05551D6C"/>
    <w:rsid w:val="05931291"/>
    <w:rsid w:val="05EC26B0"/>
    <w:rsid w:val="06734B80"/>
    <w:rsid w:val="06777248"/>
    <w:rsid w:val="06B63265"/>
    <w:rsid w:val="070D4BE1"/>
    <w:rsid w:val="07115CFE"/>
    <w:rsid w:val="07141709"/>
    <w:rsid w:val="07492231"/>
    <w:rsid w:val="074C630C"/>
    <w:rsid w:val="07647B82"/>
    <w:rsid w:val="07911761"/>
    <w:rsid w:val="07E31891"/>
    <w:rsid w:val="08046EC1"/>
    <w:rsid w:val="081E6D6D"/>
    <w:rsid w:val="086676EE"/>
    <w:rsid w:val="08A816CE"/>
    <w:rsid w:val="08B651F8"/>
    <w:rsid w:val="08BA0844"/>
    <w:rsid w:val="08E91C8E"/>
    <w:rsid w:val="090E293E"/>
    <w:rsid w:val="091C14FF"/>
    <w:rsid w:val="09554F7F"/>
    <w:rsid w:val="09AC5238"/>
    <w:rsid w:val="09B91E73"/>
    <w:rsid w:val="0A387A37"/>
    <w:rsid w:val="0B453DBF"/>
    <w:rsid w:val="0B6C7DF0"/>
    <w:rsid w:val="0BF7590B"/>
    <w:rsid w:val="0C3A6B50"/>
    <w:rsid w:val="0C525237"/>
    <w:rsid w:val="0C701580"/>
    <w:rsid w:val="0C7156BE"/>
    <w:rsid w:val="0CBC55DD"/>
    <w:rsid w:val="0D4903E8"/>
    <w:rsid w:val="0D621DA0"/>
    <w:rsid w:val="0DD04666"/>
    <w:rsid w:val="0E175E4F"/>
    <w:rsid w:val="0E406C3A"/>
    <w:rsid w:val="0E430E78"/>
    <w:rsid w:val="0E74336A"/>
    <w:rsid w:val="0F2D7016"/>
    <w:rsid w:val="0F3D3A4A"/>
    <w:rsid w:val="0F61151D"/>
    <w:rsid w:val="0F915630"/>
    <w:rsid w:val="0FBC682D"/>
    <w:rsid w:val="0FDA5E7C"/>
    <w:rsid w:val="0FE62886"/>
    <w:rsid w:val="0FF860F6"/>
    <w:rsid w:val="106169ED"/>
    <w:rsid w:val="106422A2"/>
    <w:rsid w:val="11020FDA"/>
    <w:rsid w:val="121C2B6E"/>
    <w:rsid w:val="121E6E1F"/>
    <w:rsid w:val="121F5BBC"/>
    <w:rsid w:val="124A5E7C"/>
    <w:rsid w:val="124F64A1"/>
    <w:rsid w:val="1283439D"/>
    <w:rsid w:val="12FD669C"/>
    <w:rsid w:val="13620456"/>
    <w:rsid w:val="139B3968"/>
    <w:rsid w:val="141C6857"/>
    <w:rsid w:val="145664B1"/>
    <w:rsid w:val="14956609"/>
    <w:rsid w:val="14B1541F"/>
    <w:rsid w:val="14CB202B"/>
    <w:rsid w:val="15406575"/>
    <w:rsid w:val="15681628"/>
    <w:rsid w:val="16133C89"/>
    <w:rsid w:val="1615355E"/>
    <w:rsid w:val="170F5060"/>
    <w:rsid w:val="175C3095"/>
    <w:rsid w:val="175E4A65"/>
    <w:rsid w:val="18000D5A"/>
    <w:rsid w:val="182A0D45"/>
    <w:rsid w:val="189A41EE"/>
    <w:rsid w:val="18CB2A86"/>
    <w:rsid w:val="18CF5571"/>
    <w:rsid w:val="18EC3795"/>
    <w:rsid w:val="1945669A"/>
    <w:rsid w:val="194D74B2"/>
    <w:rsid w:val="196D7CBC"/>
    <w:rsid w:val="19D1065C"/>
    <w:rsid w:val="1A0C2EC9"/>
    <w:rsid w:val="1A2F0966"/>
    <w:rsid w:val="1A654388"/>
    <w:rsid w:val="1A676352"/>
    <w:rsid w:val="1A6B5E42"/>
    <w:rsid w:val="1A713C1F"/>
    <w:rsid w:val="1AC506ED"/>
    <w:rsid w:val="1B067919"/>
    <w:rsid w:val="1B3A0A95"/>
    <w:rsid w:val="1B3A2F9D"/>
    <w:rsid w:val="1B3A3A66"/>
    <w:rsid w:val="1B3E3557"/>
    <w:rsid w:val="1B903686"/>
    <w:rsid w:val="1BAF0938"/>
    <w:rsid w:val="1BDD64C4"/>
    <w:rsid w:val="1C067028"/>
    <w:rsid w:val="1C3D1E77"/>
    <w:rsid w:val="1C661E6D"/>
    <w:rsid w:val="1D344C11"/>
    <w:rsid w:val="1D3B0967"/>
    <w:rsid w:val="1D935945"/>
    <w:rsid w:val="1DBD4B98"/>
    <w:rsid w:val="1DCF493A"/>
    <w:rsid w:val="1DEB1048"/>
    <w:rsid w:val="1DF22B3C"/>
    <w:rsid w:val="1E420CBE"/>
    <w:rsid w:val="1E6F3A27"/>
    <w:rsid w:val="1EBA7398"/>
    <w:rsid w:val="1EF06916"/>
    <w:rsid w:val="1F625C18"/>
    <w:rsid w:val="1F6B41EE"/>
    <w:rsid w:val="1F767E64"/>
    <w:rsid w:val="1F7F7E6A"/>
    <w:rsid w:val="1FB71B33"/>
    <w:rsid w:val="1FC9049C"/>
    <w:rsid w:val="1FF82CAC"/>
    <w:rsid w:val="202647F7"/>
    <w:rsid w:val="206A5224"/>
    <w:rsid w:val="20CF1F6B"/>
    <w:rsid w:val="20F31418"/>
    <w:rsid w:val="210C37AF"/>
    <w:rsid w:val="212E273D"/>
    <w:rsid w:val="21527B83"/>
    <w:rsid w:val="215A09BE"/>
    <w:rsid w:val="21AE55BF"/>
    <w:rsid w:val="21D32688"/>
    <w:rsid w:val="220973D9"/>
    <w:rsid w:val="227B707F"/>
    <w:rsid w:val="22CB5E23"/>
    <w:rsid w:val="22E42C35"/>
    <w:rsid w:val="23125D64"/>
    <w:rsid w:val="235F294A"/>
    <w:rsid w:val="23653452"/>
    <w:rsid w:val="23D55D20"/>
    <w:rsid w:val="23E443FD"/>
    <w:rsid w:val="23FB76B9"/>
    <w:rsid w:val="23FE3883"/>
    <w:rsid w:val="243634F3"/>
    <w:rsid w:val="246F478D"/>
    <w:rsid w:val="24AD1BC4"/>
    <w:rsid w:val="250A344E"/>
    <w:rsid w:val="25207829"/>
    <w:rsid w:val="252C4420"/>
    <w:rsid w:val="25590B49"/>
    <w:rsid w:val="258E50DA"/>
    <w:rsid w:val="259C1DC8"/>
    <w:rsid w:val="25DE3CBB"/>
    <w:rsid w:val="25E511E1"/>
    <w:rsid w:val="25EB42DB"/>
    <w:rsid w:val="265F25D3"/>
    <w:rsid w:val="26695200"/>
    <w:rsid w:val="266E4003"/>
    <w:rsid w:val="267A11BB"/>
    <w:rsid w:val="268812DB"/>
    <w:rsid w:val="269654E3"/>
    <w:rsid w:val="270B7AC8"/>
    <w:rsid w:val="270B7E24"/>
    <w:rsid w:val="27703550"/>
    <w:rsid w:val="27B801ED"/>
    <w:rsid w:val="28074CD0"/>
    <w:rsid w:val="2829733C"/>
    <w:rsid w:val="28425D08"/>
    <w:rsid w:val="28643ED1"/>
    <w:rsid w:val="28BB61E6"/>
    <w:rsid w:val="290F05C4"/>
    <w:rsid w:val="291D6D77"/>
    <w:rsid w:val="294D73CE"/>
    <w:rsid w:val="295D729E"/>
    <w:rsid w:val="29732316"/>
    <w:rsid w:val="2984009C"/>
    <w:rsid w:val="29862108"/>
    <w:rsid w:val="298F6472"/>
    <w:rsid w:val="2996630C"/>
    <w:rsid w:val="29FC015B"/>
    <w:rsid w:val="2A030B58"/>
    <w:rsid w:val="2A6428AE"/>
    <w:rsid w:val="2A7517C0"/>
    <w:rsid w:val="2A795E57"/>
    <w:rsid w:val="2AE80AD7"/>
    <w:rsid w:val="2AF272BD"/>
    <w:rsid w:val="2B32378E"/>
    <w:rsid w:val="2B8F3004"/>
    <w:rsid w:val="2BA54B0F"/>
    <w:rsid w:val="2BCF3D57"/>
    <w:rsid w:val="2C2B5431"/>
    <w:rsid w:val="2C93023E"/>
    <w:rsid w:val="2CC633AC"/>
    <w:rsid w:val="2D0A159E"/>
    <w:rsid w:val="2D7D772A"/>
    <w:rsid w:val="2D9C5EBB"/>
    <w:rsid w:val="2DE15604"/>
    <w:rsid w:val="2DF71C47"/>
    <w:rsid w:val="2E043D71"/>
    <w:rsid w:val="2E187C37"/>
    <w:rsid w:val="2E1A2CBD"/>
    <w:rsid w:val="2E24482E"/>
    <w:rsid w:val="2E8E6166"/>
    <w:rsid w:val="2EA9088F"/>
    <w:rsid w:val="2F422332"/>
    <w:rsid w:val="2F566C69"/>
    <w:rsid w:val="2F9B467C"/>
    <w:rsid w:val="2FEE50F3"/>
    <w:rsid w:val="304E5B92"/>
    <w:rsid w:val="305247DB"/>
    <w:rsid w:val="308415B4"/>
    <w:rsid w:val="309C34AC"/>
    <w:rsid w:val="309F60E3"/>
    <w:rsid w:val="30B04521"/>
    <w:rsid w:val="31230DCD"/>
    <w:rsid w:val="31485B61"/>
    <w:rsid w:val="315076E8"/>
    <w:rsid w:val="318B3424"/>
    <w:rsid w:val="31AF15DC"/>
    <w:rsid w:val="31B5579D"/>
    <w:rsid w:val="31D2190C"/>
    <w:rsid w:val="31E10DF1"/>
    <w:rsid w:val="3220530C"/>
    <w:rsid w:val="325244A3"/>
    <w:rsid w:val="32655415"/>
    <w:rsid w:val="32B70DC5"/>
    <w:rsid w:val="32D70A47"/>
    <w:rsid w:val="33016F86"/>
    <w:rsid w:val="33653D7A"/>
    <w:rsid w:val="33725B8E"/>
    <w:rsid w:val="33A27236"/>
    <w:rsid w:val="33C06508"/>
    <w:rsid w:val="34012F1B"/>
    <w:rsid w:val="340A662D"/>
    <w:rsid w:val="34360E17"/>
    <w:rsid w:val="34903798"/>
    <w:rsid w:val="34C2697F"/>
    <w:rsid w:val="35011425"/>
    <w:rsid w:val="35207CA0"/>
    <w:rsid w:val="35296DE4"/>
    <w:rsid w:val="355C181D"/>
    <w:rsid w:val="356F70AA"/>
    <w:rsid w:val="35A053D3"/>
    <w:rsid w:val="35A324DC"/>
    <w:rsid w:val="35AC25ED"/>
    <w:rsid w:val="35B444DF"/>
    <w:rsid w:val="35D11B70"/>
    <w:rsid w:val="362E3CD5"/>
    <w:rsid w:val="36354047"/>
    <w:rsid w:val="36C07B16"/>
    <w:rsid w:val="36CC15BF"/>
    <w:rsid w:val="36F11B9A"/>
    <w:rsid w:val="377A726D"/>
    <w:rsid w:val="37F7266B"/>
    <w:rsid w:val="38B4392F"/>
    <w:rsid w:val="38D07641"/>
    <w:rsid w:val="38F417C2"/>
    <w:rsid w:val="393345F4"/>
    <w:rsid w:val="393618B9"/>
    <w:rsid w:val="393A3157"/>
    <w:rsid w:val="39580A05"/>
    <w:rsid w:val="397F0B6A"/>
    <w:rsid w:val="39BA0B35"/>
    <w:rsid w:val="39D013C6"/>
    <w:rsid w:val="3A2F7D52"/>
    <w:rsid w:val="3A7868EF"/>
    <w:rsid w:val="3A8B3E85"/>
    <w:rsid w:val="3B092B44"/>
    <w:rsid w:val="3B0E03F8"/>
    <w:rsid w:val="3B405113"/>
    <w:rsid w:val="3B8B1A48"/>
    <w:rsid w:val="3BFC2946"/>
    <w:rsid w:val="3C88242C"/>
    <w:rsid w:val="3CB55BF6"/>
    <w:rsid w:val="3D387D66"/>
    <w:rsid w:val="3D673DEF"/>
    <w:rsid w:val="3E1034A1"/>
    <w:rsid w:val="3E1B36E3"/>
    <w:rsid w:val="3E447CFD"/>
    <w:rsid w:val="3EE3104E"/>
    <w:rsid w:val="3EE735A7"/>
    <w:rsid w:val="3F3A2CA1"/>
    <w:rsid w:val="3F830C89"/>
    <w:rsid w:val="3FB461A6"/>
    <w:rsid w:val="4021297B"/>
    <w:rsid w:val="403703F1"/>
    <w:rsid w:val="404B17A6"/>
    <w:rsid w:val="40DC6D8D"/>
    <w:rsid w:val="40DF5F72"/>
    <w:rsid w:val="40E52187"/>
    <w:rsid w:val="41087697"/>
    <w:rsid w:val="412A20B8"/>
    <w:rsid w:val="41872CB2"/>
    <w:rsid w:val="418E6E19"/>
    <w:rsid w:val="41A43864"/>
    <w:rsid w:val="42004812"/>
    <w:rsid w:val="420B0476"/>
    <w:rsid w:val="42156111"/>
    <w:rsid w:val="42894808"/>
    <w:rsid w:val="42BF022A"/>
    <w:rsid w:val="42D86298"/>
    <w:rsid w:val="42EE0B0F"/>
    <w:rsid w:val="43301FD6"/>
    <w:rsid w:val="436C4C92"/>
    <w:rsid w:val="43874EB8"/>
    <w:rsid w:val="439F739E"/>
    <w:rsid w:val="43AA2C88"/>
    <w:rsid w:val="43B65AD0"/>
    <w:rsid w:val="43C53EED"/>
    <w:rsid w:val="43DB1093"/>
    <w:rsid w:val="44086D9A"/>
    <w:rsid w:val="440B71BB"/>
    <w:rsid w:val="44123324"/>
    <w:rsid w:val="4441584C"/>
    <w:rsid w:val="444C65CD"/>
    <w:rsid w:val="444F4F3A"/>
    <w:rsid w:val="446E1C6F"/>
    <w:rsid w:val="44B2713F"/>
    <w:rsid w:val="44DF1057"/>
    <w:rsid w:val="44EF6B85"/>
    <w:rsid w:val="44F92825"/>
    <w:rsid w:val="4525470A"/>
    <w:rsid w:val="45372C41"/>
    <w:rsid w:val="45780F51"/>
    <w:rsid w:val="45C323F1"/>
    <w:rsid w:val="461B60BF"/>
    <w:rsid w:val="46301D91"/>
    <w:rsid w:val="466330FF"/>
    <w:rsid w:val="467363F8"/>
    <w:rsid w:val="46A47E62"/>
    <w:rsid w:val="46D52711"/>
    <w:rsid w:val="46DE5907"/>
    <w:rsid w:val="47310BC3"/>
    <w:rsid w:val="473968FE"/>
    <w:rsid w:val="474732F8"/>
    <w:rsid w:val="479E6FA7"/>
    <w:rsid w:val="47DA120A"/>
    <w:rsid w:val="485F7C46"/>
    <w:rsid w:val="490A052D"/>
    <w:rsid w:val="490C1CEF"/>
    <w:rsid w:val="493558F1"/>
    <w:rsid w:val="498E0956"/>
    <w:rsid w:val="49FC6E82"/>
    <w:rsid w:val="4A205CE4"/>
    <w:rsid w:val="4A54660D"/>
    <w:rsid w:val="4A8E6E5F"/>
    <w:rsid w:val="4AAE5753"/>
    <w:rsid w:val="4AC128C1"/>
    <w:rsid w:val="4AC436A6"/>
    <w:rsid w:val="4B3308B5"/>
    <w:rsid w:val="4B337875"/>
    <w:rsid w:val="4B5E0F69"/>
    <w:rsid w:val="4B727C4A"/>
    <w:rsid w:val="4C592403"/>
    <w:rsid w:val="4C827813"/>
    <w:rsid w:val="4C863DA4"/>
    <w:rsid w:val="4CC045EF"/>
    <w:rsid w:val="4CC56D43"/>
    <w:rsid w:val="4CF431C6"/>
    <w:rsid w:val="4D101657"/>
    <w:rsid w:val="4D166C24"/>
    <w:rsid w:val="4D2A484F"/>
    <w:rsid w:val="4D53613E"/>
    <w:rsid w:val="4D6B3488"/>
    <w:rsid w:val="4D862070"/>
    <w:rsid w:val="4D891B60"/>
    <w:rsid w:val="4DB43081"/>
    <w:rsid w:val="4E120E4F"/>
    <w:rsid w:val="4E121B55"/>
    <w:rsid w:val="4E6F32E9"/>
    <w:rsid w:val="4E766588"/>
    <w:rsid w:val="4EE15319"/>
    <w:rsid w:val="4F0973FC"/>
    <w:rsid w:val="4F400944"/>
    <w:rsid w:val="4F455F5A"/>
    <w:rsid w:val="4F460C2D"/>
    <w:rsid w:val="4F6860C3"/>
    <w:rsid w:val="4F755F96"/>
    <w:rsid w:val="4FCE7CFE"/>
    <w:rsid w:val="50DB56F2"/>
    <w:rsid w:val="513C488D"/>
    <w:rsid w:val="514A4DB9"/>
    <w:rsid w:val="5164091A"/>
    <w:rsid w:val="5176402F"/>
    <w:rsid w:val="51791EEB"/>
    <w:rsid w:val="52232583"/>
    <w:rsid w:val="524B1ADA"/>
    <w:rsid w:val="526B7E3F"/>
    <w:rsid w:val="52941907"/>
    <w:rsid w:val="52A925E8"/>
    <w:rsid w:val="52B763F3"/>
    <w:rsid w:val="52EB531A"/>
    <w:rsid w:val="534E30A1"/>
    <w:rsid w:val="53826985"/>
    <w:rsid w:val="53866166"/>
    <w:rsid w:val="538E7ED0"/>
    <w:rsid w:val="53BD07B5"/>
    <w:rsid w:val="53E27405"/>
    <w:rsid w:val="54090B2A"/>
    <w:rsid w:val="5427547C"/>
    <w:rsid w:val="549459BA"/>
    <w:rsid w:val="54B20F72"/>
    <w:rsid w:val="54B82E4B"/>
    <w:rsid w:val="54FD6961"/>
    <w:rsid w:val="550A1849"/>
    <w:rsid w:val="551B6DA4"/>
    <w:rsid w:val="552A1E7A"/>
    <w:rsid w:val="55340EE1"/>
    <w:rsid w:val="557F3887"/>
    <w:rsid w:val="55BD5204"/>
    <w:rsid w:val="55E71B19"/>
    <w:rsid w:val="55ED609A"/>
    <w:rsid w:val="56006F4E"/>
    <w:rsid w:val="560E354A"/>
    <w:rsid w:val="571C57F3"/>
    <w:rsid w:val="57684EDC"/>
    <w:rsid w:val="576F3AEF"/>
    <w:rsid w:val="577B5D8A"/>
    <w:rsid w:val="57893085"/>
    <w:rsid w:val="58922210"/>
    <w:rsid w:val="58FC3B2E"/>
    <w:rsid w:val="5939268C"/>
    <w:rsid w:val="597A34A2"/>
    <w:rsid w:val="59B05F22"/>
    <w:rsid w:val="59D76D95"/>
    <w:rsid w:val="59F20F41"/>
    <w:rsid w:val="59F24FDD"/>
    <w:rsid w:val="5ADE2F36"/>
    <w:rsid w:val="5AE42ACB"/>
    <w:rsid w:val="5B302D4D"/>
    <w:rsid w:val="5B575375"/>
    <w:rsid w:val="5B7E082A"/>
    <w:rsid w:val="5BD82630"/>
    <w:rsid w:val="5C000337"/>
    <w:rsid w:val="5C074CC3"/>
    <w:rsid w:val="5C133668"/>
    <w:rsid w:val="5C2B6D59"/>
    <w:rsid w:val="5C776D02"/>
    <w:rsid w:val="5C8B41AB"/>
    <w:rsid w:val="5CE943C9"/>
    <w:rsid w:val="5D245C48"/>
    <w:rsid w:val="5D276328"/>
    <w:rsid w:val="5D423AD9"/>
    <w:rsid w:val="5D646D9A"/>
    <w:rsid w:val="5DB6074F"/>
    <w:rsid w:val="5E1C432A"/>
    <w:rsid w:val="5E337FF2"/>
    <w:rsid w:val="5E873E9A"/>
    <w:rsid w:val="5EA82788"/>
    <w:rsid w:val="5F0A4C2A"/>
    <w:rsid w:val="5F1806FA"/>
    <w:rsid w:val="5F23318E"/>
    <w:rsid w:val="5F264AF1"/>
    <w:rsid w:val="5F8B79B9"/>
    <w:rsid w:val="5FA62A45"/>
    <w:rsid w:val="5FB40CBE"/>
    <w:rsid w:val="5FC01D8E"/>
    <w:rsid w:val="5FDF615F"/>
    <w:rsid w:val="605162C2"/>
    <w:rsid w:val="60730B79"/>
    <w:rsid w:val="608F40A8"/>
    <w:rsid w:val="609355AC"/>
    <w:rsid w:val="60957D19"/>
    <w:rsid w:val="609B040A"/>
    <w:rsid w:val="60B116A2"/>
    <w:rsid w:val="60CC028A"/>
    <w:rsid w:val="61070188"/>
    <w:rsid w:val="61654438"/>
    <w:rsid w:val="61724406"/>
    <w:rsid w:val="619F2B1F"/>
    <w:rsid w:val="61C86D4A"/>
    <w:rsid w:val="61D05B58"/>
    <w:rsid w:val="62807BBC"/>
    <w:rsid w:val="62BB5EA5"/>
    <w:rsid w:val="62C751AC"/>
    <w:rsid w:val="62E47B0C"/>
    <w:rsid w:val="63193E36"/>
    <w:rsid w:val="631B1054"/>
    <w:rsid w:val="63844E4C"/>
    <w:rsid w:val="638A48B7"/>
    <w:rsid w:val="63BF40D6"/>
    <w:rsid w:val="64047D3A"/>
    <w:rsid w:val="64852C29"/>
    <w:rsid w:val="64AE59F6"/>
    <w:rsid w:val="64CA4AE0"/>
    <w:rsid w:val="65653F4E"/>
    <w:rsid w:val="657F3B1C"/>
    <w:rsid w:val="65B56C0B"/>
    <w:rsid w:val="65C97631"/>
    <w:rsid w:val="65F21AB3"/>
    <w:rsid w:val="66251B68"/>
    <w:rsid w:val="66344907"/>
    <w:rsid w:val="66664CDC"/>
    <w:rsid w:val="667E3DD4"/>
    <w:rsid w:val="66D93700"/>
    <w:rsid w:val="67127912"/>
    <w:rsid w:val="671D6009"/>
    <w:rsid w:val="6732221A"/>
    <w:rsid w:val="674D1342"/>
    <w:rsid w:val="67762CFD"/>
    <w:rsid w:val="68081645"/>
    <w:rsid w:val="681B4A8F"/>
    <w:rsid w:val="6849021F"/>
    <w:rsid w:val="687A3C05"/>
    <w:rsid w:val="68940414"/>
    <w:rsid w:val="68F95994"/>
    <w:rsid w:val="692C7B17"/>
    <w:rsid w:val="69553B4D"/>
    <w:rsid w:val="69724AD7"/>
    <w:rsid w:val="698F2F8F"/>
    <w:rsid w:val="699A7177"/>
    <w:rsid w:val="699F771D"/>
    <w:rsid w:val="69AF3CD0"/>
    <w:rsid w:val="69BF6BDD"/>
    <w:rsid w:val="69CA2B17"/>
    <w:rsid w:val="69CC30A8"/>
    <w:rsid w:val="6A33110C"/>
    <w:rsid w:val="6AE54422"/>
    <w:rsid w:val="6B030D4C"/>
    <w:rsid w:val="6B807383"/>
    <w:rsid w:val="6B961BC0"/>
    <w:rsid w:val="6BBD6062"/>
    <w:rsid w:val="6BE74E19"/>
    <w:rsid w:val="6BFD39ED"/>
    <w:rsid w:val="6C001E4A"/>
    <w:rsid w:val="6C0E785F"/>
    <w:rsid w:val="6C47110C"/>
    <w:rsid w:val="6CD37D36"/>
    <w:rsid w:val="6D2356F3"/>
    <w:rsid w:val="6D6F26C8"/>
    <w:rsid w:val="6E18382A"/>
    <w:rsid w:val="6E201C15"/>
    <w:rsid w:val="6E2A65EF"/>
    <w:rsid w:val="6E625D89"/>
    <w:rsid w:val="6EAE5472"/>
    <w:rsid w:val="6EBC36EB"/>
    <w:rsid w:val="6EBF6F4C"/>
    <w:rsid w:val="6EEA7B57"/>
    <w:rsid w:val="6F072F62"/>
    <w:rsid w:val="6FAE76E8"/>
    <w:rsid w:val="700239E9"/>
    <w:rsid w:val="70151CB4"/>
    <w:rsid w:val="702F64F2"/>
    <w:rsid w:val="70455B22"/>
    <w:rsid w:val="709157B8"/>
    <w:rsid w:val="719641E7"/>
    <w:rsid w:val="719F765B"/>
    <w:rsid w:val="71C92F88"/>
    <w:rsid w:val="71DB0B17"/>
    <w:rsid w:val="722E5ED1"/>
    <w:rsid w:val="72946F4B"/>
    <w:rsid w:val="72AD56B1"/>
    <w:rsid w:val="72C64E61"/>
    <w:rsid w:val="72D66D46"/>
    <w:rsid w:val="730829F7"/>
    <w:rsid w:val="73177C77"/>
    <w:rsid w:val="73641BFE"/>
    <w:rsid w:val="73903BDF"/>
    <w:rsid w:val="73D0382F"/>
    <w:rsid w:val="744F5002"/>
    <w:rsid w:val="745C32DA"/>
    <w:rsid w:val="74624D35"/>
    <w:rsid w:val="74B567CE"/>
    <w:rsid w:val="74B66E2F"/>
    <w:rsid w:val="74CE6A7E"/>
    <w:rsid w:val="74EE6617"/>
    <w:rsid w:val="753A180E"/>
    <w:rsid w:val="756276E8"/>
    <w:rsid w:val="75734D20"/>
    <w:rsid w:val="75864A53"/>
    <w:rsid w:val="75B77661"/>
    <w:rsid w:val="760834D9"/>
    <w:rsid w:val="762129A3"/>
    <w:rsid w:val="7662101C"/>
    <w:rsid w:val="766528BB"/>
    <w:rsid w:val="768371E5"/>
    <w:rsid w:val="76BF43FB"/>
    <w:rsid w:val="76DB0DCF"/>
    <w:rsid w:val="775A337C"/>
    <w:rsid w:val="780A196C"/>
    <w:rsid w:val="7860158C"/>
    <w:rsid w:val="788460D8"/>
    <w:rsid w:val="78B6564F"/>
    <w:rsid w:val="78EA354B"/>
    <w:rsid w:val="795B4B05"/>
    <w:rsid w:val="796D2967"/>
    <w:rsid w:val="79725A1A"/>
    <w:rsid w:val="79CD5CEC"/>
    <w:rsid w:val="7A592736"/>
    <w:rsid w:val="7A647D14"/>
    <w:rsid w:val="7AA240DD"/>
    <w:rsid w:val="7AA37E55"/>
    <w:rsid w:val="7AFD7D77"/>
    <w:rsid w:val="7B346CFF"/>
    <w:rsid w:val="7B3B7919"/>
    <w:rsid w:val="7B683833"/>
    <w:rsid w:val="7B6F7CF7"/>
    <w:rsid w:val="7B962E96"/>
    <w:rsid w:val="7C4B2B74"/>
    <w:rsid w:val="7C7A6994"/>
    <w:rsid w:val="7C804BFA"/>
    <w:rsid w:val="7C831CEC"/>
    <w:rsid w:val="7C89326C"/>
    <w:rsid w:val="7CC516EE"/>
    <w:rsid w:val="7CFF2A1E"/>
    <w:rsid w:val="7D013D1F"/>
    <w:rsid w:val="7D0746CC"/>
    <w:rsid w:val="7D1110A6"/>
    <w:rsid w:val="7D1E7D57"/>
    <w:rsid w:val="7D26648E"/>
    <w:rsid w:val="7D8904F4"/>
    <w:rsid w:val="7DB303AF"/>
    <w:rsid w:val="7E611BB9"/>
    <w:rsid w:val="7E7D73FF"/>
    <w:rsid w:val="7E9F0934"/>
    <w:rsid w:val="7EAF1C20"/>
    <w:rsid w:val="7EB51F05"/>
    <w:rsid w:val="7EB77390"/>
    <w:rsid w:val="7EBE700C"/>
    <w:rsid w:val="7EC9322B"/>
    <w:rsid w:val="7EEA6053"/>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2">
    <w:name w:val="heading 1"/>
    <w:basedOn w:val="1"/>
    <w:next w:val="3"/>
    <w:link w:val="20"/>
    <w:qFormat/>
    <w:uiPriority w:val="99"/>
    <w:pPr>
      <w:spacing w:before="159" w:after="153" w:line="554" w:lineRule="atLeast"/>
      <w:ind w:firstLine="0"/>
      <w:jc w:val="center"/>
      <w:outlineLvl w:val="0"/>
    </w:pPr>
    <w:rPr>
      <w:rFonts w:ascii="Arial" w:hAnsi="Arial" w:eastAsia="黑体" w:cs="Arial"/>
      <w:sz w:val="32"/>
      <w:szCs w:val="32"/>
    </w:rPr>
  </w:style>
  <w:style w:type="paragraph" w:styleId="3">
    <w:name w:val="heading 2"/>
    <w:basedOn w:val="1"/>
    <w:next w:val="4"/>
    <w:link w:val="21"/>
    <w:qFormat/>
    <w:uiPriority w:val="99"/>
    <w:pPr>
      <w:spacing w:line="519" w:lineRule="atLeast"/>
      <w:ind w:firstLine="0"/>
      <w:jc w:val="center"/>
      <w:outlineLvl w:val="1"/>
    </w:pPr>
    <w:rPr>
      <w:sz w:val="28"/>
      <w:szCs w:val="28"/>
    </w:rPr>
  </w:style>
  <w:style w:type="paragraph" w:styleId="4">
    <w:name w:val="heading 3"/>
    <w:basedOn w:val="1"/>
    <w:next w:val="1"/>
    <w:link w:val="22"/>
    <w:qFormat/>
    <w:uiPriority w:val="99"/>
    <w:pPr>
      <w:spacing w:before="176" w:after="102"/>
      <w:ind w:firstLine="0"/>
      <w:outlineLvl w:val="2"/>
    </w:pPr>
    <w:rPr>
      <w:rFonts w:eastAsia="黑体"/>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semiHidden/>
    <w:qFormat/>
    <w:uiPriority w:val="99"/>
    <w:pPr>
      <w:spacing w:line="548" w:lineRule="atLeast"/>
    </w:pPr>
  </w:style>
  <w:style w:type="paragraph" w:styleId="6">
    <w:name w:val="Date"/>
    <w:basedOn w:val="1"/>
    <w:next w:val="1"/>
    <w:link w:val="23"/>
    <w:qFormat/>
    <w:uiPriority w:val="99"/>
    <w:pPr>
      <w:ind w:left="100" w:leftChars="2500"/>
    </w:p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0">
    <w:name w:val="toc 4"/>
    <w:basedOn w:val="1"/>
    <w:next w:val="1"/>
    <w:semiHidden/>
    <w:qFormat/>
    <w:uiPriority w:val="99"/>
    <w:pPr>
      <w:spacing w:line="548" w:lineRule="atLeast"/>
      <w:ind w:firstLine="630"/>
    </w:pPr>
  </w:style>
  <w:style w:type="paragraph" w:styleId="11">
    <w:name w:val="toc 2"/>
    <w:basedOn w:val="1"/>
    <w:next w:val="1"/>
    <w:semiHidden/>
    <w:qFormat/>
    <w:uiPriority w:val="99"/>
    <w:pPr>
      <w:spacing w:line="548" w:lineRule="atLeast"/>
      <w:ind w:firstLine="210"/>
    </w:pPr>
  </w:style>
  <w:style w:type="paragraph" w:styleId="12">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3">
    <w:name w:val="Title"/>
    <w:basedOn w:val="1"/>
    <w:next w:val="14"/>
    <w:link w:val="26"/>
    <w:qFormat/>
    <w:uiPriority w:val="99"/>
    <w:pPr>
      <w:spacing w:before="567" w:after="545" w:line="808" w:lineRule="atLeast"/>
      <w:ind w:firstLine="0"/>
      <w:jc w:val="center"/>
    </w:pPr>
    <w:rPr>
      <w:rFonts w:ascii="Arial" w:hAnsi="Arial" w:eastAsia="黑体" w:cs="Arial"/>
      <w:sz w:val="52"/>
      <w:szCs w:val="52"/>
    </w:rPr>
  </w:style>
  <w:style w:type="paragraph" w:customStyle="1" w:styleId="14">
    <w:name w:val="文章副标题"/>
    <w:basedOn w:val="1"/>
    <w:next w:val="2"/>
    <w:qFormat/>
    <w:uiPriority w:val="99"/>
    <w:pPr>
      <w:spacing w:before="104" w:after="104" w:line="240" w:lineRule="atLeast"/>
      <w:ind w:firstLine="0"/>
      <w:jc w:val="center"/>
    </w:pPr>
    <w:rPr>
      <w:sz w:val="36"/>
      <w:szCs w:val="36"/>
    </w:rPr>
  </w:style>
  <w:style w:type="character" w:styleId="17">
    <w:name w:val="Strong"/>
    <w:basedOn w:val="16"/>
    <w:qFormat/>
    <w:uiPriority w:val="22"/>
    <w:rPr>
      <w:b/>
      <w:bCs/>
    </w:rPr>
  </w:style>
  <w:style w:type="character" w:styleId="18">
    <w:name w:val="page number"/>
    <w:basedOn w:val="16"/>
    <w:qFormat/>
    <w:uiPriority w:val="99"/>
    <w:rPr>
      <w:rFonts w:cs="Times New Roman"/>
    </w:rPr>
  </w:style>
  <w:style w:type="character" w:styleId="19">
    <w:name w:val="Hyperlink"/>
    <w:basedOn w:val="16"/>
    <w:qFormat/>
    <w:uiPriority w:val="99"/>
    <w:rPr>
      <w:rFonts w:cs="Times New Roman"/>
      <w:color w:val="0000FF"/>
      <w:u w:val="single"/>
    </w:rPr>
  </w:style>
  <w:style w:type="character" w:customStyle="1" w:styleId="20">
    <w:name w:val="标题 1 Char"/>
    <w:basedOn w:val="16"/>
    <w:link w:val="2"/>
    <w:qFormat/>
    <w:locked/>
    <w:uiPriority w:val="99"/>
    <w:rPr>
      <w:rFonts w:cs="Times New Roman"/>
      <w:b/>
      <w:bCs/>
      <w:color w:val="000000"/>
      <w:kern w:val="44"/>
      <w:sz w:val="44"/>
      <w:szCs w:val="44"/>
    </w:rPr>
  </w:style>
  <w:style w:type="character" w:customStyle="1" w:styleId="21">
    <w:name w:val="标题 2 Char"/>
    <w:basedOn w:val="16"/>
    <w:link w:val="3"/>
    <w:semiHidden/>
    <w:qFormat/>
    <w:locked/>
    <w:uiPriority w:val="99"/>
    <w:rPr>
      <w:rFonts w:ascii="Cambria" w:hAnsi="Cambria" w:eastAsia="宋体" w:cs="Cambria"/>
      <w:b/>
      <w:bCs/>
      <w:color w:val="000000"/>
      <w:kern w:val="0"/>
      <w:sz w:val="32"/>
      <w:szCs w:val="32"/>
    </w:rPr>
  </w:style>
  <w:style w:type="character" w:customStyle="1" w:styleId="22">
    <w:name w:val="标题 3 Char"/>
    <w:basedOn w:val="16"/>
    <w:link w:val="4"/>
    <w:semiHidden/>
    <w:qFormat/>
    <w:locked/>
    <w:uiPriority w:val="99"/>
    <w:rPr>
      <w:rFonts w:cs="Times New Roman"/>
      <w:b/>
      <w:bCs/>
      <w:color w:val="000000"/>
      <w:kern w:val="0"/>
      <w:sz w:val="32"/>
      <w:szCs w:val="32"/>
    </w:rPr>
  </w:style>
  <w:style w:type="character" w:customStyle="1" w:styleId="23">
    <w:name w:val="日期 Char"/>
    <w:basedOn w:val="16"/>
    <w:link w:val="6"/>
    <w:semiHidden/>
    <w:qFormat/>
    <w:locked/>
    <w:uiPriority w:val="99"/>
    <w:rPr>
      <w:rFonts w:cs="Times New Roman"/>
      <w:color w:val="000000"/>
      <w:kern w:val="0"/>
      <w:sz w:val="20"/>
      <w:szCs w:val="20"/>
    </w:rPr>
  </w:style>
  <w:style w:type="character" w:customStyle="1" w:styleId="24">
    <w:name w:val="页脚 Char"/>
    <w:basedOn w:val="16"/>
    <w:link w:val="7"/>
    <w:semiHidden/>
    <w:qFormat/>
    <w:locked/>
    <w:uiPriority w:val="99"/>
    <w:rPr>
      <w:rFonts w:cs="Times New Roman"/>
      <w:color w:val="000000"/>
      <w:kern w:val="0"/>
      <w:sz w:val="18"/>
      <w:szCs w:val="18"/>
    </w:rPr>
  </w:style>
  <w:style w:type="character" w:customStyle="1" w:styleId="25">
    <w:name w:val="页眉 Char"/>
    <w:basedOn w:val="16"/>
    <w:link w:val="8"/>
    <w:semiHidden/>
    <w:qFormat/>
    <w:locked/>
    <w:uiPriority w:val="99"/>
    <w:rPr>
      <w:rFonts w:cs="Times New Roman"/>
      <w:color w:val="000000"/>
      <w:kern w:val="0"/>
      <w:sz w:val="18"/>
      <w:szCs w:val="18"/>
    </w:rPr>
  </w:style>
  <w:style w:type="character" w:customStyle="1" w:styleId="26">
    <w:name w:val="标题 Char"/>
    <w:basedOn w:val="16"/>
    <w:link w:val="13"/>
    <w:qFormat/>
    <w:locked/>
    <w:uiPriority w:val="99"/>
    <w:rPr>
      <w:rFonts w:ascii="Cambria" w:hAnsi="Cambria" w:cs="Cambria"/>
      <w:b/>
      <w:bCs/>
      <w:color w:val="000000"/>
      <w:kern w:val="0"/>
      <w:sz w:val="32"/>
      <w:szCs w:val="32"/>
    </w:rPr>
  </w:style>
  <w:style w:type="character" w:customStyle="1" w:styleId="27">
    <w:name w:val="默认段落字体 Char"/>
    <w:qFormat/>
    <w:uiPriority w:val="99"/>
    <w:rPr>
      <w:rFonts w:ascii="Times New Roman" w:hAnsi="Times New Roman" w:eastAsia="宋体"/>
      <w:color w:val="000000"/>
      <w:spacing w:val="0"/>
      <w:w w:val="100"/>
      <w:sz w:val="21"/>
      <w:vertAlign w:val="baseline"/>
    </w:rPr>
  </w:style>
  <w:style w:type="character" w:customStyle="1" w:styleId="28">
    <w:name w:val="链接"/>
    <w:basedOn w:val="16"/>
    <w:qFormat/>
    <w:uiPriority w:val="99"/>
    <w:rPr>
      <w:rFonts w:ascii="Times New Roman" w:hAnsi="Times New Roman" w:eastAsia="宋体" w:cs="Times New Roman"/>
      <w:color w:val="0000FF"/>
      <w:sz w:val="21"/>
      <w:szCs w:val="21"/>
      <w:u w:val="single" w:color="0000FF"/>
      <w:vertAlign w:val="baseline"/>
    </w:rPr>
  </w:style>
  <w:style w:type="character" w:customStyle="1" w:styleId="29">
    <w:name w:val="超级链接"/>
    <w:basedOn w:val="27"/>
    <w:qFormat/>
    <w:uiPriority w:val="99"/>
    <w:rPr>
      <w:rFonts w:cs="Times New Roman"/>
      <w:color w:val="0000FF"/>
      <w:szCs w:val="21"/>
      <w:u w:val="single" w:color="0000FF"/>
    </w:rPr>
  </w:style>
  <w:style w:type="paragraph" w:customStyle="1" w:styleId="30">
    <w:name w:val="WPS Plain"/>
    <w:qFormat/>
    <w:uiPriority w:val="99"/>
    <w:rPr>
      <w:rFonts w:ascii="Times New Roman" w:hAnsi="Times New Roman" w:eastAsia="宋体" w:cs="Times New Roman"/>
      <w:lang w:val="en-US" w:eastAsia="zh-CN" w:bidi="ar-SA"/>
    </w:rPr>
  </w:style>
  <w:style w:type="paragraph" w:customStyle="1" w:styleId="31">
    <w:name w:val="普通表格1"/>
    <w:qFormat/>
    <w:uiPriority w:val="99"/>
    <w:rPr>
      <w:rFonts w:ascii="Times New Roman" w:hAnsi="Times New Roman" w:eastAsia="宋体" w:cs="Times New Roman"/>
      <w:lang w:val="en-US" w:eastAsia="zh-CN" w:bidi="ar-SA"/>
    </w:rPr>
  </w:style>
  <w:style w:type="paragraph" w:customStyle="1" w:styleId="32">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3">
    <w:name w:val="无列表1"/>
    <w:qFormat/>
    <w:uiPriority w:val="99"/>
    <w:rPr>
      <w:rFonts w:ascii="Times New Roman" w:hAnsi="Times New Roman" w:eastAsia="宋体" w:cs="Times New Roman"/>
      <w:lang w:val="en-US" w:eastAsia="zh-CN" w:bidi="ar-SA"/>
    </w:rPr>
  </w:style>
  <w:style w:type="paragraph" w:customStyle="1" w:styleId="34">
    <w:name w:val="0"/>
    <w:basedOn w:val="1"/>
    <w:qFormat/>
    <w:uiPriority w:val="99"/>
    <w:pPr>
      <w:widowControl/>
      <w:snapToGrid w:val="0"/>
      <w:spacing w:line="240" w:lineRule="auto"/>
      <w:ind w:left="0" w:firstLine="0"/>
      <w:textAlignment w:val="auto"/>
    </w:pPr>
    <w:rPr>
      <w:color w:val="auto"/>
    </w:rPr>
  </w:style>
  <w:style w:type="paragraph" w:customStyle="1" w:styleId="35">
    <w:name w:val="文章附标题"/>
    <w:basedOn w:val="1"/>
    <w:qFormat/>
    <w:uiPriority w:val="99"/>
    <w:pPr>
      <w:spacing w:before="187" w:after="176" w:line="607" w:lineRule="atLeast"/>
      <w:ind w:firstLine="0"/>
      <w:jc w:val="center"/>
    </w:pPr>
    <w:rPr>
      <w:sz w:val="36"/>
      <w:szCs w:val="36"/>
    </w:rPr>
  </w:style>
  <w:style w:type="paragraph" w:styleId="36">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10</Pages>
  <Words>5166</Words>
  <Characters>5701</Characters>
  <Lines>41</Lines>
  <Paragraphs>11</Paragraphs>
  <TotalTime>136</TotalTime>
  <ScaleCrop>false</ScaleCrop>
  <LinksUpToDate>false</LinksUpToDate>
  <CharactersWithSpaces>5746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2023-09-01T02:48:11Z</cp:lastPrinted>
  <dcterms:modified xsi:type="dcterms:W3CDTF">2023-09-01T04:48:31Z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591681223ACF47A09FC35220437093A5_13</vt:lpwstr>
  </property>
</Properties>
</file>