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ind w:left="0" w:leftChars="0" w:firstLine="0" w:firstLineChars="0"/>
        <w:jc w:val="center"/>
        <w:rPr>
          <w:rFonts w:hint="eastAsia" w:ascii="宋体" w:hAnsi="宋体" w:eastAsia="宋体" w:cs="宋体"/>
          <w:b/>
          <w:bCs w:val="0"/>
          <w:color w:val="000000" w:themeColor="text1"/>
          <w:sz w:val="44"/>
          <w:szCs w:val="44"/>
          <w:highlight w:val="none"/>
          <w14:textFill>
            <w14:solidFill>
              <w14:schemeClr w14:val="tx1"/>
            </w14:solidFill>
          </w14:textFill>
        </w:rPr>
      </w:pPr>
      <w:r>
        <w:rPr>
          <w:rFonts w:hint="eastAsia" w:ascii="宋体" w:hAnsi="宋体" w:eastAsia="宋体" w:cs="宋体"/>
          <w:b/>
          <w:bCs w:val="0"/>
          <w:color w:val="000000" w:themeColor="text1"/>
          <w:sz w:val="44"/>
          <w:szCs w:val="44"/>
          <w:highlight w:val="none"/>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highlight w:val="none"/>
          <w14:textFill>
            <w14:solidFill>
              <w14:schemeClr w14:val="tx1"/>
            </w14:solidFill>
          </w14:textFill>
        </w:rPr>
      </w:pPr>
      <w:r>
        <w:rPr>
          <w:rFonts w:hint="eastAsia" w:ascii="宋体" w:hAnsi="宋体" w:eastAsia="宋体" w:cs="宋体"/>
          <w:b/>
          <w:bCs w:val="0"/>
          <w:color w:val="000000" w:themeColor="text1"/>
          <w:sz w:val="44"/>
          <w:szCs w:val="44"/>
          <w:highlight w:val="none"/>
          <w14:textFill>
            <w14:solidFill>
              <w14:schemeClr w14:val="tx1"/>
            </w14:solidFill>
          </w14:textFill>
        </w:rPr>
        <w:t>国有土地使用权挂牌出让公告</w:t>
      </w:r>
    </w:p>
    <w:p>
      <w:pPr>
        <w:keepNext w:val="0"/>
        <w:keepLines w:val="0"/>
        <w:pageBreakBefore w:val="0"/>
        <w:widowControl w:val="0"/>
        <w:kinsoku/>
        <w:wordWrap/>
        <w:overflowPunct/>
        <w:topLinePunct w:val="0"/>
        <w:autoSpaceDE/>
        <w:autoSpaceDN/>
        <w:bidi w:val="0"/>
        <w:adjustRightInd/>
        <w:snapToGrid/>
        <w:spacing w:line="540" w:lineRule="exact"/>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lang w:val="en-US" w:eastAsia="zh-CN"/>
        </w:rPr>
        <w:t xml:space="preserve"> </w:t>
      </w:r>
      <w:r>
        <w:rPr>
          <w:rFonts w:hint="eastAsia" w:ascii="仿宋" w:hAnsi="仿宋" w:eastAsia="仿宋" w:cs="仿宋"/>
          <w:bCs/>
          <w:color w:val="auto"/>
          <w:sz w:val="32"/>
          <w:szCs w:val="32"/>
          <w:highlight w:val="none"/>
        </w:rPr>
        <w:t>乌资交挂字〔202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44</w:t>
      </w:r>
      <w:r>
        <w:rPr>
          <w:rFonts w:hint="eastAsia" w:ascii="仿宋" w:hAnsi="仿宋" w:eastAsia="仿宋" w:cs="仿宋"/>
          <w:bCs/>
          <w:color w:val="auto"/>
          <w:sz w:val="32"/>
          <w:szCs w:val="32"/>
          <w:highlight w:val="none"/>
        </w:rPr>
        <w:t>号</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经乌海市海南区人民政府批准，乌海市自然资源局海南分局以挂牌方式出让</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宗地块的国有建设用地使用权，现将有关事项公告如下：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宗地基本情况和规划要求：</w:t>
      </w:r>
    </w:p>
    <w:tbl>
      <w:tblPr>
        <w:tblStyle w:val="16"/>
        <w:tblW w:w="111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90"/>
        <w:gridCol w:w="750"/>
        <w:gridCol w:w="1424"/>
        <w:gridCol w:w="900"/>
        <w:gridCol w:w="767"/>
        <w:gridCol w:w="633"/>
        <w:gridCol w:w="667"/>
        <w:gridCol w:w="617"/>
        <w:gridCol w:w="633"/>
        <w:gridCol w:w="617"/>
        <w:gridCol w:w="650"/>
        <w:gridCol w:w="916"/>
        <w:gridCol w:w="950"/>
        <w:gridCol w:w="12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390" w:type="dxa"/>
            <w:vMerge w:val="restart"/>
            <w:vAlign w:val="center"/>
          </w:tcPr>
          <w:p>
            <w:pPr>
              <w:pStyle w:val="31"/>
              <w:spacing w:line="28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序号</w:t>
            </w:r>
          </w:p>
        </w:tc>
        <w:tc>
          <w:tcPr>
            <w:tcW w:w="750" w:type="dxa"/>
            <w:vMerge w:val="restart"/>
            <w:vAlign w:val="center"/>
          </w:tcPr>
          <w:p>
            <w:pPr>
              <w:pStyle w:val="31"/>
              <w:spacing w:line="28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编号</w:t>
            </w:r>
          </w:p>
        </w:tc>
        <w:tc>
          <w:tcPr>
            <w:tcW w:w="1424" w:type="dxa"/>
            <w:vMerge w:val="restart"/>
            <w:vAlign w:val="center"/>
          </w:tcPr>
          <w:p>
            <w:pPr>
              <w:spacing w:line="30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土地位置</w:t>
            </w:r>
          </w:p>
        </w:tc>
        <w:tc>
          <w:tcPr>
            <w:tcW w:w="900" w:type="dxa"/>
            <w:vMerge w:val="restart"/>
            <w:vAlign w:val="center"/>
          </w:tcPr>
          <w:p>
            <w:pPr>
              <w:spacing w:line="28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土地面积(m</w:t>
            </w:r>
            <w:r>
              <w:rPr>
                <w:rFonts w:hint="eastAsia" w:ascii="仿宋" w:hAnsi="仿宋" w:eastAsia="仿宋" w:cs="仿宋"/>
                <w:b/>
                <w:bCs/>
                <w:color w:val="auto"/>
                <w:sz w:val="18"/>
                <w:szCs w:val="18"/>
                <w:highlight w:val="none"/>
                <w:vertAlign w:val="superscript"/>
              </w:rPr>
              <w:t>2</w:t>
            </w:r>
            <w:r>
              <w:rPr>
                <w:rFonts w:hint="eastAsia" w:ascii="仿宋" w:hAnsi="仿宋" w:eastAsia="仿宋" w:cs="仿宋"/>
                <w:b/>
                <w:bCs/>
                <w:color w:val="auto"/>
                <w:sz w:val="18"/>
                <w:szCs w:val="18"/>
                <w:highlight w:val="none"/>
              </w:rPr>
              <w:t>）</w:t>
            </w:r>
          </w:p>
        </w:tc>
        <w:tc>
          <w:tcPr>
            <w:tcW w:w="767" w:type="dxa"/>
            <w:vMerge w:val="restart"/>
            <w:vAlign w:val="center"/>
          </w:tcPr>
          <w:p>
            <w:pPr>
              <w:spacing w:line="280" w:lineRule="exact"/>
              <w:ind w:left="0" w:firstLine="0"/>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土地</w:t>
            </w:r>
          </w:p>
          <w:p>
            <w:pPr>
              <w:spacing w:line="280" w:lineRule="exact"/>
              <w:ind w:left="0" w:firstLine="0"/>
              <w:jc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用途</w:t>
            </w:r>
          </w:p>
        </w:tc>
        <w:tc>
          <w:tcPr>
            <w:tcW w:w="3167" w:type="dxa"/>
            <w:gridSpan w:val="5"/>
            <w:tcBorders>
              <w:right w:val="single" w:color="auto" w:sz="4" w:space="0"/>
            </w:tcBorders>
            <w:vAlign w:val="center"/>
          </w:tcPr>
          <w:p>
            <w:pPr>
              <w:pStyle w:val="31"/>
              <w:spacing w:line="24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规划指标要求</w:t>
            </w:r>
          </w:p>
        </w:tc>
        <w:tc>
          <w:tcPr>
            <w:tcW w:w="650" w:type="dxa"/>
            <w:vMerge w:val="restart"/>
            <w:tcBorders>
              <w:left w:val="single" w:color="auto" w:sz="4" w:space="0"/>
              <w:right w:val="single" w:color="auto" w:sz="4" w:space="0"/>
            </w:tcBorders>
            <w:vAlign w:val="center"/>
          </w:tcPr>
          <w:p>
            <w:pPr>
              <w:pStyle w:val="31"/>
              <w:spacing w:line="24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出让</w:t>
            </w:r>
          </w:p>
          <w:p>
            <w:pPr>
              <w:pStyle w:val="31"/>
              <w:spacing w:line="24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年限（年）</w:t>
            </w:r>
          </w:p>
        </w:tc>
        <w:tc>
          <w:tcPr>
            <w:tcW w:w="916" w:type="dxa"/>
            <w:vMerge w:val="restart"/>
            <w:tcBorders>
              <w:left w:val="single" w:color="auto" w:sz="4" w:space="0"/>
              <w:right w:val="single" w:color="auto" w:sz="4" w:space="0"/>
            </w:tcBorders>
            <w:vAlign w:val="center"/>
          </w:tcPr>
          <w:p>
            <w:pPr>
              <w:pStyle w:val="31"/>
              <w:spacing w:line="28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起挂价</w:t>
            </w:r>
          </w:p>
          <w:p>
            <w:pPr>
              <w:spacing w:line="28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(万元)</w:t>
            </w:r>
          </w:p>
        </w:tc>
        <w:tc>
          <w:tcPr>
            <w:tcW w:w="950" w:type="dxa"/>
            <w:vMerge w:val="restart"/>
            <w:tcBorders>
              <w:left w:val="single" w:color="auto" w:sz="4" w:space="0"/>
              <w:right w:val="single" w:color="auto" w:sz="4" w:space="0"/>
            </w:tcBorders>
            <w:vAlign w:val="center"/>
          </w:tcPr>
          <w:p>
            <w:pPr>
              <w:pStyle w:val="31"/>
              <w:spacing w:line="28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保证金</w:t>
            </w:r>
          </w:p>
          <w:p>
            <w:pPr>
              <w:spacing w:line="28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(万元)</w:t>
            </w:r>
          </w:p>
        </w:tc>
        <w:tc>
          <w:tcPr>
            <w:tcW w:w="1231" w:type="dxa"/>
            <w:vMerge w:val="restart"/>
            <w:tcBorders>
              <w:left w:val="single" w:color="auto" w:sz="4" w:space="0"/>
              <w:right w:val="single" w:color="auto" w:sz="4" w:space="0"/>
            </w:tcBorders>
            <w:vAlign w:val="center"/>
          </w:tcPr>
          <w:p>
            <w:pPr>
              <w:spacing w:line="28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390" w:type="dxa"/>
            <w:vMerge w:val="continue"/>
            <w:vAlign w:val="center"/>
          </w:tcPr>
          <w:p>
            <w:pPr>
              <w:spacing w:line="280" w:lineRule="exact"/>
              <w:ind w:left="0" w:firstLine="0"/>
              <w:jc w:val="center"/>
              <w:rPr>
                <w:rFonts w:hint="eastAsia" w:ascii="仿宋" w:hAnsi="仿宋" w:eastAsia="仿宋" w:cs="仿宋"/>
                <w:color w:val="auto"/>
                <w:sz w:val="18"/>
                <w:szCs w:val="18"/>
                <w:highlight w:val="none"/>
              </w:rPr>
            </w:pPr>
          </w:p>
        </w:tc>
        <w:tc>
          <w:tcPr>
            <w:tcW w:w="750" w:type="dxa"/>
            <w:vMerge w:val="continue"/>
            <w:vAlign w:val="center"/>
          </w:tcPr>
          <w:p>
            <w:pPr>
              <w:spacing w:line="280" w:lineRule="exact"/>
              <w:ind w:left="0" w:firstLine="0"/>
              <w:jc w:val="center"/>
              <w:rPr>
                <w:rFonts w:hint="eastAsia" w:ascii="仿宋" w:hAnsi="仿宋" w:eastAsia="仿宋" w:cs="仿宋"/>
                <w:color w:val="auto"/>
                <w:sz w:val="18"/>
                <w:szCs w:val="18"/>
                <w:highlight w:val="none"/>
              </w:rPr>
            </w:pPr>
          </w:p>
        </w:tc>
        <w:tc>
          <w:tcPr>
            <w:tcW w:w="1424" w:type="dxa"/>
            <w:vMerge w:val="continue"/>
            <w:vAlign w:val="center"/>
          </w:tcPr>
          <w:p>
            <w:pPr>
              <w:spacing w:line="300" w:lineRule="exact"/>
              <w:ind w:left="0" w:firstLine="0"/>
              <w:jc w:val="center"/>
              <w:rPr>
                <w:rFonts w:hint="eastAsia" w:ascii="仿宋" w:hAnsi="仿宋" w:eastAsia="仿宋" w:cs="仿宋"/>
                <w:color w:val="auto"/>
                <w:sz w:val="18"/>
                <w:szCs w:val="18"/>
                <w:highlight w:val="none"/>
              </w:rPr>
            </w:pPr>
          </w:p>
        </w:tc>
        <w:tc>
          <w:tcPr>
            <w:tcW w:w="900" w:type="dxa"/>
            <w:vMerge w:val="continue"/>
            <w:vAlign w:val="center"/>
          </w:tcPr>
          <w:p>
            <w:pPr>
              <w:spacing w:line="280" w:lineRule="exact"/>
              <w:ind w:left="0" w:firstLine="0"/>
              <w:jc w:val="center"/>
              <w:rPr>
                <w:rFonts w:hint="eastAsia" w:ascii="仿宋" w:hAnsi="仿宋" w:eastAsia="仿宋" w:cs="仿宋"/>
                <w:b/>
                <w:bCs/>
                <w:color w:val="auto"/>
                <w:sz w:val="18"/>
                <w:szCs w:val="18"/>
                <w:highlight w:val="none"/>
              </w:rPr>
            </w:pPr>
          </w:p>
        </w:tc>
        <w:tc>
          <w:tcPr>
            <w:tcW w:w="767" w:type="dxa"/>
            <w:vMerge w:val="continue"/>
            <w:vAlign w:val="center"/>
          </w:tcPr>
          <w:p>
            <w:pPr>
              <w:spacing w:line="300" w:lineRule="exact"/>
              <w:ind w:left="0" w:firstLine="0"/>
              <w:jc w:val="center"/>
              <w:rPr>
                <w:rFonts w:hint="eastAsia" w:ascii="仿宋" w:hAnsi="仿宋" w:eastAsia="仿宋" w:cs="仿宋"/>
                <w:color w:val="auto"/>
                <w:sz w:val="18"/>
                <w:szCs w:val="18"/>
                <w:highlight w:val="none"/>
                <w:lang w:val="en-US" w:eastAsia="zh-CN"/>
              </w:rPr>
            </w:pPr>
          </w:p>
        </w:tc>
        <w:tc>
          <w:tcPr>
            <w:tcW w:w="633" w:type="dxa"/>
            <w:vAlign w:val="center"/>
          </w:tcPr>
          <w:p>
            <w:pPr>
              <w:spacing w:line="240" w:lineRule="exact"/>
              <w:ind w:left="0" w:firstLine="0"/>
              <w:jc w:val="center"/>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容积率</w:t>
            </w:r>
          </w:p>
        </w:tc>
        <w:tc>
          <w:tcPr>
            <w:tcW w:w="667" w:type="dxa"/>
            <w:vAlign w:val="center"/>
          </w:tcPr>
          <w:p>
            <w:pPr>
              <w:pStyle w:val="31"/>
              <w:spacing w:line="240" w:lineRule="exact"/>
              <w:jc w:val="center"/>
              <w:textAlignment w:val="center"/>
              <w:rPr>
                <w:rFonts w:hint="eastAsia" w:ascii="仿宋" w:hAnsi="仿宋" w:eastAsia="仿宋" w:cs="仿宋"/>
                <w:b/>
                <w:bCs/>
                <w:color w:val="auto"/>
                <w:sz w:val="18"/>
                <w:szCs w:val="18"/>
                <w:highlight w:val="none"/>
              </w:rPr>
            </w:pPr>
            <w:r>
              <w:rPr>
                <w:rFonts w:hint="eastAsia" w:ascii="仿宋" w:hAnsi="仿宋" w:eastAsia="仿宋" w:cs="仿宋"/>
                <w:b/>
                <w:color w:val="auto"/>
                <w:sz w:val="18"/>
                <w:szCs w:val="18"/>
                <w:highlight w:val="none"/>
              </w:rPr>
              <w:t>建筑限高</w:t>
            </w:r>
          </w:p>
        </w:tc>
        <w:tc>
          <w:tcPr>
            <w:tcW w:w="617" w:type="dxa"/>
            <w:vAlign w:val="center"/>
          </w:tcPr>
          <w:p>
            <w:pPr>
              <w:pStyle w:val="31"/>
              <w:spacing w:line="240" w:lineRule="exact"/>
              <w:jc w:val="center"/>
              <w:textAlignment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rPr>
              <w:t>建筑</w:t>
            </w:r>
            <w:r>
              <w:rPr>
                <w:rFonts w:hint="eastAsia" w:ascii="仿宋" w:hAnsi="仿宋" w:eastAsia="仿宋" w:cs="仿宋"/>
                <w:b/>
                <w:bCs/>
                <w:color w:val="auto"/>
                <w:sz w:val="18"/>
                <w:szCs w:val="18"/>
                <w:highlight w:val="none"/>
                <w:lang w:eastAsia="zh-CN"/>
              </w:rPr>
              <w:t>系数</w:t>
            </w:r>
          </w:p>
        </w:tc>
        <w:tc>
          <w:tcPr>
            <w:tcW w:w="633" w:type="dxa"/>
            <w:tcBorders>
              <w:right w:val="single" w:color="auto" w:sz="4" w:space="0"/>
            </w:tcBorders>
            <w:vAlign w:val="center"/>
          </w:tcPr>
          <w:p>
            <w:pPr>
              <w:pStyle w:val="31"/>
              <w:spacing w:line="240" w:lineRule="exact"/>
              <w:jc w:val="center"/>
              <w:textAlignment w:val="center"/>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rPr>
              <w:t>绿地率</w:t>
            </w:r>
          </w:p>
        </w:tc>
        <w:tc>
          <w:tcPr>
            <w:tcW w:w="617" w:type="dxa"/>
            <w:tcBorders>
              <w:left w:val="single" w:color="auto" w:sz="4" w:space="0"/>
              <w:right w:val="single" w:color="auto" w:sz="4" w:space="0"/>
            </w:tcBorders>
            <w:vAlign w:val="center"/>
          </w:tcPr>
          <w:p>
            <w:pPr>
              <w:pStyle w:val="31"/>
              <w:spacing w:line="240" w:lineRule="exact"/>
              <w:jc w:val="center"/>
              <w:rPr>
                <w:rFonts w:hint="eastAsia"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投资强度</w:t>
            </w:r>
          </w:p>
        </w:tc>
        <w:tc>
          <w:tcPr>
            <w:tcW w:w="650" w:type="dxa"/>
            <w:vMerge w:val="continue"/>
            <w:tcBorders>
              <w:left w:val="single" w:color="auto" w:sz="4" w:space="0"/>
              <w:right w:val="single" w:color="auto" w:sz="4" w:space="0"/>
            </w:tcBorders>
            <w:vAlign w:val="center"/>
          </w:tcPr>
          <w:p>
            <w:pPr>
              <w:pStyle w:val="31"/>
              <w:spacing w:line="240" w:lineRule="exact"/>
              <w:jc w:val="center"/>
              <w:rPr>
                <w:rFonts w:hint="eastAsia" w:ascii="仿宋" w:hAnsi="仿宋" w:eastAsia="仿宋" w:cs="仿宋"/>
                <w:b/>
                <w:bCs/>
                <w:color w:val="auto"/>
                <w:sz w:val="18"/>
                <w:szCs w:val="18"/>
                <w:highlight w:val="none"/>
              </w:rPr>
            </w:pPr>
          </w:p>
        </w:tc>
        <w:tc>
          <w:tcPr>
            <w:tcW w:w="916" w:type="dxa"/>
            <w:vMerge w:val="continue"/>
            <w:tcBorders>
              <w:left w:val="single" w:color="auto" w:sz="4" w:space="0"/>
              <w:right w:val="single" w:color="auto" w:sz="4" w:space="0"/>
            </w:tcBorders>
            <w:vAlign w:val="center"/>
          </w:tcPr>
          <w:p>
            <w:pPr>
              <w:spacing w:line="280" w:lineRule="exact"/>
              <w:ind w:left="0" w:firstLine="0"/>
              <w:jc w:val="center"/>
              <w:rPr>
                <w:rFonts w:hint="eastAsia" w:ascii="仿宋" w:hAnsi="仿宋" w:eastAsia="仿宋" w:cs="仿宋"/>
                <w:color w:val="auto"/>
                <w:sz w:val="18"/>
                <w:szCs w:val="18"/>
                <w:highlight w:val="none"/>
              </w:rPr>
            </w:pPr>
          </w:p>
        </w:tc>
        <w:tc>
          <w:tcPr>
            <w:tcW w:w="950" w:type="dxa"/>
            <w:vMerge w:val="continue"/>
            <w:tcBorders>
              <w:left w:val="single" w:color="auto" w:sz="4" w:space="0"/>
              <w:right w:val="single" w:color="auto" w:sz="4" w:space="0"/>
            </w:tcBorders>
            <w:vAlign w:val="center"/>
          </w:tcPr>
          <w:p>
            <w:pPr>
              <w:spacing w:line="280" w:lineRule="exact"/>
              <w:ind w:left="0" w:firstLine="0"/>
              <w:jc w:val="center"/>
              <w:rPr>
                <w:rFonts w:hint="eastAsia" w:ascii="仿宋" w:hAnsi="仿宋" w:eastAsia="仿宋" w:cs="仿宋"/>
                <w:color w:val="auto"/>
                <w:sz w:val="18"/>
                <w:szCs w:val="18"/>
                <w:highlight w:val="none"/>
              </w:rPr>
            </w:pPr>
          </w:p>
        </w:tc>
        <w:tc>
          <w:tcPr>
            <w:tcW w:w="1231"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hint="eastAsia" w:ascii="仿宋" w:hAnsi="仿宋" w:eastAsia="仿宋" w:cs="仿宋"/>
                <w:color w:val="auto"/>
                <w:sz w:val="18"/>
                <w:szCs w:val="1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jc w:val="center"/>
        </w:trPr>
        <w:tc>
          <w:tcPr>
            <w:tcW w:w="390" w:type="dxa"/>
            <w:vAlign w:val="center"/>
          </w:tcPr>
          <w:p>
            <w:pPr>
              <w:pStyle w:val="31"/>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1</w:t>
            </w:r>
          </w:p>
        </w:tc>
        <w:tc>
          <w:tcPr>
            <w:tcW w:w="750" w:type="dxa"/>
            <w:vAlign w:val="center"/>
          </w:tcPr>
          <w:p>
            <w:pPr>
              <w:spacing w:line="300" w:lineRule="exact"/>
              <w:ind w:left="0" w:firstLine="0"/>
              <w:jc w:val="center"/>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2023GC-44-01</w:t>
            </w:r>
          </w:p>
        </w:tc>
        <w:tc>
          <w:tcPr>
            <w:tcW w:w="1424" w:type="dxa"/>
            <w:vAlign w:val="center"/>
          </w:tcPr>
          <w:p>
            <w:pPr>
              <w:spacing w:line="300" w:lineRule="exact"/>
              <w:ind w:left="0" w:firstLine="0"/>
              <w:jc w:val="center"/>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b w:val="0"/>
                <w:bCs w:val="0"/>
                <w:color w:val="auto"/>
                <w:kern w:val="2"/>
                <w:sz w:val="18"/>
                <w:szCs w:val="18"/>
                <w:highlight w:val="none"/>
                <w:u w:val="none"/>
                <w:lang w:val="en-US" w:eastAsia="zh-CN"/>
              </w:rPr>
              <w:t>海南产业园西来峰项目区（海南区）</w:t>
            </w:r>
          </w:p>
        </w:tc>
        <w:tc>
          <w:tcPr>
            <w:tcW w:w="900" w:type="dxa"/>
            <w:vAlign w:val="center"/>
          </w:tcPr>
          <w:p>
            <w:pPr>
              <w:spacing w:line="300" w:lineRule="exact"/>
              <w:ind w:left="0" w:firstLine="0"/>
              <w:jc w:val="center"/>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b w:val="0"/>
                <w:bCs w:val="0"/>
                <w:color w:val="auto"/>
                <w:kern w:val="2"/>
                <w:sz w:val="18"/>
                <w:szCs w:val="18"/>
                <w:highlight w:val="none"/>
                <w:u w:val="none"/>
                <w:lang w:val="en-US" w:eastAsia="zh-CN"/>
              </w:rPr>
              <w:t>42629.93</w:t>
            </w:r>
          </w:p>
        </w:tc>
        <w:tc>
          <w:tcPr>
            <w:tcW w:w="767" w:type="dxa"/>
            <w:vAlign w:val="center"/>
          </w:tcPr>
          <w:p>
            <w:pPr>
              <w:spacing w:line="300" w:lineRule="exact"/>
              <w:ind w:left="0" w:firstLine="0"/>
              <w:jc w:val="center"/>
              <w:rPr>
                <w:rFonts w:hint="eastAsia" w:ascii="仿宋" w:hAnsi="仿宋" w:eastAsia="仿宋" w:cs="仿宋"/>
                <w:color w:val="auto"/>
                <w:kern w:val="2"/>
                <w:sz w:val="18"/>
                <w:szCs w:val="18"/>
                <w:highlight w:val="none"/>
                <w:lang w:eastAsia="zh-CN"/>
              </w:rPr>
            </w:pPr>
            <w:r>
              <w:rPr>
                <w:rFonts w:hint="eastAsia" w:ascii="仿宋" w:hAnsi="仿宋" w:eastAsia="仿宋" w:cs="仿宋"/>
                <w:b w:val="0"/>
                <w:bCs w:val="0"/>
                <w:color w:val="auto"/>
                <w:kern w:val="2"/>
                <w:sz w:val="18"/>
                <w:szCs w:val="18"/>
                <w:highlight w:val="none"/>
                <w:u w:val="none"/>
                <w:lang w:val="en-US" w:eastAsia="zh-CN"/>
              </w:rPr>
              <w:t>工业用地</w:t>
            </w:r>
          </w:p>
        </w:tc>
        <w:tc>
          <w:tcPr>
            <w:tcW w:w="633" w:type="dxa"/>
            <w:vAlign w:val="center"/>
          </w:tcPr>
          <w:p>
            <w:pPr>
              <w:spacing w:line="300" w:lineRule="exact"/>
              <w:ind w:left="0" w:firstLine="0"/>
              <w:jc w:val="center"/>
              <w:rPr>
                <w:rFonts w:hint="eastAsia" w:ascii="仿宋" w:hAnsi="仿宋" w:eastAsia="仿宋" w:cs="仿宋"/>
                <w:snapToGrid/>
                <w:color w:val="333333"/>
                <w:sz w:val="18"/>
                <w:szCs w:val="18"/>
                <w:highlight w:val="none"/>
              </w:rPr>
            </w:pPr>
            <w:r>
              <w:rPr>
                <w:rFonts w:hint="eastAsia" w:ascii="仿宋" w:hAnsi="仿宋" w:eastAsia="仿宋" w:cs="仿宋"/>
                <w:sz w:val="18"/>
                <w:szCs w:val="18"/>
                <w:highlight w:val="none"/>
                <w:u w:val="none"/>
                <w:lang w:eastAsia="zh-CN"/>
              </w:rPr>
              <w:t>≥</w:t>
            </w:r>
            <w:r>
              <w:rPr>
                <w:rFonts w:hint="eastAsia" w:ascii="仿宋" w:hAnsi="仿宋" w:eastAsia="仿宋" w:cs="仿宋"/>
                <w:sz w:val="18"/>
                <w:szCs w:val="18"/>
                <w:highlight w:val="none"/>
                <w:u w:val="none"/>
                <w:lang w:val="en-US" w:eastAsia="zh-CN"/>
              </w:rPr>
              <w:t>0.7</w:t>
            </w:r>
          </w:p>
        </w:tc>
        <w:tc>
          <w:tcPr>
            <w:tcW w:w="667" w:type="dxa"/>
            <w:vAlign w:val="center"/>
          </w:tcPr>
          <w:p>
            <w:pPr>
              <w:spacing w:line="300" w:lineRule="exact"/>
              <w:ind w:left="0" w:leftChars="0" w:firstLine="0" w:firstLineChars="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u w:val="none"/>
                <w:lang w:val="en-US" w:eastAsia="zh-CN"/>
              </w:rPr>
              <w:t>≤30米</w:t>
            </w:r>
          </w:p>
        </w:tc>
        <w:tc>
          <w:tcPr>
            <w:tcW w:w="617" w:type="dxa"/>
            <w:vAlign w:val="center"/>
          </w:tcPr>
          <w:p>
            <w:pPr>
              <w:spacing w:line="300" w:lineRule="exact"/>
              <w:ind w:left="0" w:leftChars="0" w:firstLine="0" w:firstLineChars="0"/>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u w:val="none"/>
                <w:lang w:eastAsia="zh-CN"/>
              </w:rPr>
              <w:t>≥</w:t>
            </w:r>
            <w:r>
              <w:rPr>
                <w:rFonts w:hint="eastAsia" w:ascii="仿宋" w:hAnsi="仿宋" w:eastAsia="仿宋" w:cs="仿宋"/>
                <w:sz w:val="18"/>
                <w:szCs w:val="18"/>
                <w:highlight w:val="none"/>
                <w:u w:val="none"/>
                <w:lang w:val="en-US" w:eastAsia="zh-CN"/>
              </w:rPr>
              <w:t>30</w:t>
            </w:r>
            <w:r>
              <w:rPr>
                <w:rFonts w:hint="eastAsia" w:ascii="仿宋" w:hAnsi="仿宋" w:eastAsia="仿宋" w:cs="仿宋"/>
                <w:sz w:val="18"/>
                <w:szCs w:val="18"/>
                <w:highlight w:val="none"/>
                <w:u w:val="none"/>
              </w:rPr>
              <w:t>%</w:t>
            </w:r>
          </w:p>
        </w:tc>
        <w:tc>
          <w:tcPr>
            <w:tcW w:w="633" w:type="dxa"/>
            <w:tcBorders>
              <w:top w:val="single" w:color="auto" w:sz="4" w:space="0"/>
              <w:bottom w:val="single" w:color="auto" w:sz="4" w:space="0"/>
            </w:tcBorders>
            <w:vAlign w:val="center"/>
          </w:tcPr>
          <w:p>
            <w:pPr>
              <w:spacing w:line="300" w:lineRule="exact"/>
              <w:ind w:left="0" w:firstLine="0"/>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u w:val="none"/>
                <w:lang w:eastAsia="zh-CN"/>
              </w:rPr>
              <w:t>≤</w:t>
            </w:r>
            <w:r>
              <w:rPr>
                <w:rFonts w:hint="eastAsia" w:ascii="仿宋" w:hAnsi="仿宋" w:eastAsia="仿宋" w:cs="仿宋"/>
                <w:sz w:val="18"/>
                <w:szCs w:val="18"/>
                <w:highlight w:val="none"/>
                <w:u w:val="none"/>
                <w:lang w:val="en-US" w:eastAsia="zh-CN"/>
              </w:rPr>
              <w:t>20</w:t>
            </w:r>
            <w:r>
              <w:rPr>
                <w:rFonts w:hint="eastAsia" w:ascii="仿宋" w:hAnsi="仿宋" w:eastAsia="仿宋" w:cs="仿宋"/>
                <w:sz w:val="18"/>
                <w:szCs w:val="18"/>
                <w:highlight w:val="none"/>
                <w:u w:val="none"/>
              </w:rPr>
              <w:t>%</w:t>
            </w:r>
          </w:p>
        </w:tc>
        <w:tc>
          <w:tcPr>
            <w:tcW w:w="617" w:type="dxa"/>
            <w:vAlign w:val="center"/>
          </w:tcPr>
          <w:p>
            <w:pPr>
              <w:spacing w:line="300" w:lineRule="exact"/>
              <w:ind w:left="0" w:firstLine="0"/>
              <w:jc w:val="center"/>
              <w:rPr>
                <w:rFonts w:hint="eastAsia" w:ascii="仿宋" w:hAnsi="仿宋" w:eastAsia="仿宋" w:cs="仿宋"/>
                <w:sz w:val="18"/>
                <w:szCs w:val="18"/>
                <w:highlight w:val="none"/>
              </w:rPr>
            </w:pPr>
            <w:r>
              <w:rPr>
                <w:rFonts w:hint="eastAsia" w:ascii="仿宋" w:hAnsi="仿宋" w:eastAsia="仿宋" w:cs="仿宋"/>
                <w:sz w:val="18"/>
                <w:szCs w:val="18"/>
                <w:highlight w:val="none"/>
                <w:u w:val="none"/>
              </w:rPr>
              <w:t>≥</w:t>
            </w:r>
            <w:r>
              <w:rPr>
                <w:rFonts w:hint="eastAsia" w:ascii="仿宋" w:hAnsi="仿宋" w:eastAsia="仿宋" w:cs="仿宋"/>
                <w:sz w:val="18"/>
                <w:szCs w:val="18"/>
                <w:highlight w:val="none"/>
                <w:u w:val="none"/>
                <w:lang w:val="en-US" w:eastAsia="zh-CN"/>
              </w:rPr>
              <w:t>3000</w:t>
            </w:r>
            <w:r>
              <w:rPr>
                <w:rFonts w:hint="eastAsia" w:ascii="仿宋" w:hAnsi="仿宋" w:eastAsia="仿宋" w:cs="仿宋"/>
                <w:sz w:val="18"/>
                <w:szCs w:val="18"/>
                <w:highlight w:val="none"/>
                <w:u w:val="none"/>
              </w:rPr>
              <w:t>万元/公顷</w:t>
            </w:r>
          </w:p>
        </w:tc>
        <w:tc>
          <w:tcPr>
            <w:tcW w:w="650" w:type="dxa"/>
            <w:vAlign w:val="center"/>
          </w:tcPr>
          <w:p>
            <w:pPr>
              <w:spacing w:line="300" w:lineRule="exact"/>
              <w:ind w:left="0" w:firstLine="0"/>
              <w:jc w:val="center"/>
              <w:rPr>
                <w:rFonts w:hint="eastAsia" w:ascii="仿宋" w:hAnsi="仿宋" w:eastAsia="仿宋" w:cs="仿宋"/>
                <w:sz w:val="18"/>
                <w:szCs w:val="18"/>
                <w:highlight w:val="none"/>
                <w:lang w:val="en-US" w:eastAsia="zh-CN"/>
              </w:rPr>
            </w:pPr>
            <w:r>
              <w:rPr>
                <w:rFonts w:hint="eastAsia" w:ascii="仿宋" w:hAnsi="仿宋" w:eastAsia="仿宋" w:cs="仿宋"/>
                <w:color w:val="auto"/>
                <w:kern w:val="2"/>
                <w:sz w:val="18"/>
                <w:szCs w:val="18"/>
                <w:highlight w:val="none"/>
                <w:u w:val="none"/>
                <w:lang w:val="en-US" w:eastAsia="zh-CN" w:bidi="ar-SA"/>
              </w:rPr>
              <w:t>50</w:t>
            </w:r>
          </w:p>
        </w:tc>
        <w:tc>
          <w:tcPr>
            <w:tcW w:w="916" w:type="dxa"/>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534.6081</w:t>
            </w:r>
          </w:p>
        </w:tc>
        <w:tc>
          <w:tcPr>
            <w:tcW w:w="950" w:type="dxa"/>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val="en-US" w:eastAsia="zh-CN" w:bidi="ar-SA"/>
              </w:rPr>
            </w:pPr>
            <w:r>
              <w:rPr>
                <w:rFonts w:hint="eastAsia" w:ascii="仿宋" w:hAnsi="仿宋" w:eastAsia="仿宋" w:cs="仿宋"/>
                <w:color w:val="auto"/>
                <w:kern w:val="2"/>
                <w:sz w:val="18"/>
                <w:szCs w:val="18"/>
                <w:highlight w:val="none"/>
                <w:lang w:val="en-US" w:eastAsia="zh-CN" w:bidi="ar-SA"/>
              </w:rPr>
              <w:t>534.6081</w:t>
            </w:r>
          </w:p>
        </w:tc>
        <w:tc>
          <w:tcPr>
            <w:tcW w:w="1231" w:type="dxa"/>
            <w:vMerge w:val="restart"/>
            <w:tcBorders>
              <w:top w:val="single" w:color="auto" w:sz="4" w:space="0"/>
            </w:tcBorders>
            <w:vAlign w:val="center"/>
          </w:tcPr>
          <w:p>
            <w:pPr>
              <w:spacing w:line="300" w:lineRule="exact"/>
              <w:ind w:left="0" w:leftChars="0" w:firstLine="0" w:firstLineChars="0"/>
              <w:jc w:val="center"/>
              <w:rPr>
                <w:rFonts w:hint="eastAsia" w:ascii="仿宋" w:hAnsi="仿宋" w:eastAsia="仿宋" w:cs="仿宋"/>
                <w:color w:val="auto"/>
                <w:kern w:val="0"/>
                <w:sz w:val="18"/>
                <w:szCs w:val="18"/>
                <w:highlight w:val="none"/>
              </w:rPr>
            </w:pPr>
            <w:r>
              <w:rPr>
                <w:rFonts w:hint="eastAsia" w:ascii="仿宋" w:hAnsi="仿宋" w:eastAsia="仿宋" w:cs="仿宋"/>
                <w:sz w:val="18"/>
                <w:szCs w:val="18"/>
                <w:highlight w:val="none"/>
              </w:rPr>
              <w:t>出让地块建设必须严格按照《内蒙古自治区建设用地规划条件书》的有关要求进行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jc w:val="center"/>
        </w:trPr>
        <w:tc>
          <w:tcPr>
            <w:tcW w:w="390" w:type="dxa"/>
            <w:vAlign w:val="center"/>
          </w:tcPr>
          <w:p>
            <w:pPr>
              <w:pStyle w:val="31"/>
              <w:jc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2</w:t>
            </w:r>
          </w:p>
        </w:tc>
        <w:tc>
          <w:tcPr>
            <w:tcW w:w="750" w:type="dxa"/>
            <w:vAlign w:val="center"/>
          </w:tcPr>
          <w:p>
            <w:pPr>
              <w:spacing w:line="300" w:lineRule="exact"/>
              <w:ind w:left="0" w:leftChars="0" w:firstLine="0" w:firstLineChars="0"/>
              <w:jc w:val="center"/>
              <w:rPr>
                <w:rFonts w:hint="eastAsia" w:ascii="仿宋" w:hAnsi="仿宋" w:eastAsia="仿宋" w:cs="仿宋"/>
                <w:color w:val="auto"/>
                <w:kern w:val="0"/>
                <w:sz w:val="18"/>
                <w:szCs w:val="18"/>
                <w:highlight w:val="none"/>
                <w:lang w:val="en-US" w:eastAsia="zh-CN"/>
              </w:rPr>
            </w:pPr>
            <w:r>
              <w:rPr>
                <w:rFonts w:hint="eastAsia" w:ascii="仿宋" w:hAnsi="仿宋" w:eastAsia="仿宋" w:cs="仿宋"/>
                <w:color w:val="auto"/>
                <w:kern w:val="0"/>
                <w:sz w:val="18"/>
                <w:szCs w:val="18"/>
                <w:highlight w:val="none"/>
                <w:lang w:val="en-US" w:eastAsia="zh-CN"/>
              </w:rPr>
              <w:t>2023GC-44-02</w:t>
            </w:r>
          </w:p>
        </w:tc>
        <w:tc>
          <w:tcPr>
            <w:tcW w:w="1424" w:type="dxa"/>
            <w:vAlign w:val="center"/>
          </w:tcPr>
          <w:p>
            <w:pPr>
              <w:spacing w:line="300" w:lineRule="exact"/>
              <w:ind w:left="0" w:leftChars="0" w:firstLine="0" w:firstLineChars="0"/>
              <w:jc w:val="center"/>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b w:val="0"/>
                <w:bCs w:val="0"/>
                <w:color w:val="auto"/>
                <w:kern w:val="2"/>
                <w:sz w:val="18"/>
                <w:szCs w:val="18"/>
                <w:highlight w:val="none"/>
                <w:lang w:val="en-US" w:eastAsia="zh-CN"/>
              </w:rPr>
              <w:t>乌海市吉祥检测物流园北、S217西</w:t>
            </w:r>
            <w:r>
              <w:rPr>
                <w:rFonts w:hint="eastAsia" w:ascii="仿宋" w:hAnsi="仿宋" w:eastAsia="仿宋" w:cs="仿宋"/>
                <w:kern w:val="0"/>
                <w:sz w:val="18"/>
                <w:szCs w:val="18"/>
                <w:highlight w:val="none"/>
                <w:lang w:val="en-US" w:eastAsia="zh-CN" w:bidi="ar-SA"/>
              </w:rPr>
              <w:t>（海南区）</w:t>
            </w:r>
          </w:p>
        </w:tc>
        <w:tc>
          <w:tcPr>
            <w:tcW w:w="900" w:type="dxa"/>
            <w:vAlign w:val="center"/>
          </w:tcPr>
          <w:p>
            <w:pPr>
              <w:spacing w:line="300" w:lineRule="exact"/>
              <w:ind w:left="0" w:leftChars="0" w:firstLine="0" w:firstLineChars="0"/>
              <w:jc w:val="center"/>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bidi="ar-SA"/>
              </w:rPr>
              <w:t>10211.81</w:t>
            </w:r>
          </w:p>
        </w:tc>
        <w:tc>
          <w:tcPr>
            <w:tcW w:w="767" w:type="dxa"/>
            <w:vAlign w:val="center"/>
          </w:tcPr>
          <w:p>
            <w:pPr>
              <w:spacing w:line="300" w:lineRule="exact"/>
              <w:ind w:left="0" w:leftChars="0" w:firstLine="0" w:firstLineChars="0"/>
              <w:jc w:val="center"/>
              <w:rPr>
                <w:rFonts w:hint="eastAsia" w:ascii="仿宋" w:hAnsi="仿宋" w:eastAsia="仿宋" w:cs="仿宋"/>
                <w:color w:val="auto"/>
                <w:kern w:val="2"/>
                <w:sz w:val="18"/>
                <w:szCs w:val="18"/>
                <w:highlight w:val="none"/>
                <w:lang w:eastAsia="zh-CN"/>
              </w:rPr>
            </w:pPr>
            <w:r>
              <w:rPr>
                <w:rFonts w:hint="eastAsia" w:ascii="仿宋" w:hAnsi="仿宋" w:eastAsia="仿宋" w:cs="仿宋"/>
                <w:color w:val="auto"/>
                <w:kern w:val="2"/>
                <w:sz w:val="18"/>
                <w:szCs w:val="18"/>
                <w:highlight w:val="none"/>
                <w:lang w:val="en-US" w:eastAsia="zh-CN" w:bidi="ar-SA"/>
              </w:rPr>
              <w:t>物流仓储用地</w:t>
            </w:r>
          </w:p>
        </w:tc>
        <w:tc>
          <w:tcPr>
            <w:tcW w:w="633" w:type="dxa"/>
            <w:vAlign w:val="center"/>
          </w:tcPr>
          <w:p>
            <w:pPr>
              <w:spacing w:line="300" w:lineRule="exact"/>
              <w:ind w:left="0" w:leftChars="0" w:firstLine="0" w:firstLineChars="0"/>
              <w:jc w:val="center"/>
              <w:rPr>
                <w:rFonts w:hint="eastAsia" w:ascii="仿宋" w:hAnsi="仿宋" w:eastAsia="仿宋" w:cs="仿宋"/>
                <w:snapToGrid/>
                <w:color w:val="333333"/>
                <w:sz w:val="18"/>
                <w:szCs w:val="18"/>
                <w:highlight w:val="none"/>
              </w:rPr>
            </w:pPr>
            <w:r>
              <w:rPr>
                <w:rFonts w:hint="eastAsia" w:ascii="仿宋" w:hAnsi="仿宋" w:eastAsia="仿宋" w:cs="仿宋"/>
                <w:sz w:val="18"/>
                <w:szCs w:val="18"/>
                <w:highlight w:val="none"/>
                <w:lang w:val="en-US" w:eastAsia="zh-CN"/>
              </w:rPr>
              <w:t>≥0.8</w:t>
            </w:r>
          </w:p>
        </w:tc>
        <w:tc>
          <w:tcPr>
            <w:tcW w:w="667" w:type="dxa"/>
            <w:vAlign w:val="center"/>
          </w:tcPr>
          <w:p>
            <w:pPr>
              <w:spacing w:line="300" w:lineRule="exact"/>
              <w:ind w:left="0" w:leftChars="0" w:firstLine="0" w:firstLineChars="0"/>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≤24米</w:t>
            </w:r>
          </w:p>
        </w:tc>
        <w:tc>
          <w:tcPr>
            <w:tcW w:w="617" w:type="dxa"/>
            <w:vAlign w:val="center"/>
          </w:tcPr>
          <w:p>
            <w:pPr>
              <w:spacing w:line="300" w:lineRule="exact"/>
              <w:ind w:left="0" w:leftChars="0" w:firstLine="0" w:firstLineChars="0"/>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≥40</w:t>
            </w:r>
            <w:r>
              <w:rPr>
                <w:rFonts w:hint="eastAsia" w:ascii="仿宋" w:hAnsi="仿宋" w:eastAsia="仿宋" w:cs="仿宋"/>
                <w:sz w:val="18"/>
                <w:szCs w:val="18"/>
                <w:highlight w:val="none"/>
              </w:rPr>
              <w:t>%</w:t>
            </w:r>
          </w:p>
        </w:tc>
        <w:tc>
          <w:tcPr>
            <w:tcW w:w="633"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≤20</w:t>
            </w:r>
            <w:r>
              <w:rPr>
                <w:rFonts w:hint="eastAsia" w:ascii="仿宋" w:hAnsi="仿宋" w:eastAsia="仿宋" w:cs="仿宋"/>
                <w:sz w:val="18"/>
                <w:szCs w:val="18"/>
                <w:highlight w:val="none"/>
              </w:rPr>
              <w:t>%</w:t>
            </w:r>
          </w:p>
        </w:tc>
        <w:tc>
          <w:tcPr>
            <w:tcW w:w="617" w:type="dxa"/>
            <w:vAlign w:val="center"/>
          </w:tcPr>
          <w:p>
            <w:pPr>
              <w:spacing w:line="300" w:lineRule="exact"/>
              <w:ind w:left="0" w:leftChars="0" w:firstLine="0" w:firstLineChars="0"/>
              <w:jc w:val="center"/>
              <w:rPr>
                <w:rFonts w:hint="eastAsia" w:ascii="仿宋" w:hAnsi="仿宋" w:eastAsia="仿宋" w:cs="仿宋"/>
                <w:sz w:val="18"/>
                <w:szCs w:val="18"/>
                <w:highlight w:val="none"/>
              </w:rPr>
            </w:pPr>
            <w:r>
              <w:rPr>
                <w:rFonts w:hint="eastAsia" w:ascii="仿宋" w:hAnsi="仿宋" w:eastAsia="仿宋" w:cs="仿宋"/>
                <w:color w:val="auto"/>
                <w:kern w:val="0"/>
                <w:sz w:val="18"/>
                <w:szCs w:val="18"/>
                <w:highlight w:val="none"/>
                <w:lang w:val="en-US" w:eastAsia="zh-CN"/>
              </w:rPr>
              <w:t>--</w:t>
            </w:r>
          </w:p>
        </w:tc>
        <w:tc>
          <w:tcPr>
            <w:tcW w:w="650" w:type="dxa"/>
            <w:vAlign w:val="center"/>
          </w:tcPr>
          <w:p>
            <w:pPr>
              <w:spacing w:line="300" w:lineRule="exact"/>
              <w:ind w:left="0" w:leftChars="0" w:firstLine="0" w:firstLineChars="0"/>
              <w:jc w:val="center"/>
              <w:rPr>
                <w:rFonts w:hint="eastAsia" w:ascii="仿宋" w:hAnsi="仿宋" w:eastAsia="仿宋" w:cs="仿宋"/>
                <w:sz w:val="18"/>
                <w:szCs w:val="18"/>
                <w:highlight w:val="none"/>
                <w:lang w:val="en-US" w:eastAsia="zh-CN"/>
              </w:rPr>
            </w:pPr>
            <w:r>
              <w:rPr>
                <w:rFonts w:hint="eastAsia" w:ascii="仿宋" w:hAnsi="仿宋" w:eastAsia="仿宋" w:cs="仿宋"/>
                <w:color w:val="auto"/>
                <w:kern w:val="2"/>
                <w:sz w:val="18"/>
                <w:szCs w:val="18"/>
                <w:highlight w:val="none"/>
                <w:lang w:val="en-US" w:eastAsia="zh-CN" w:bidi="ar-SA"/>
              </w:rPr>
              <w:t>40</w:t>
            </w:r>
          </w:p>
        </w:tc>
        <w:tc>
          <w:tcPr>
            <w:tcW w:w="916" w:type="dxa"/>
            <w:vAlign w:val="center"/>
          </w:tcPr>
          <w:p>
            <w:pPr>
              <w:spacing w:line="300" w:lineRule="exact"/>
              <w:ind w:left="0" w:leftChars="0" w:firstLine="0" w:firstLineChars="0"/>
              <w:jc w:val="center"/>
              <w:rPr>
                <w:rFonts w:hint="eastAsia" w:ascii="仿宋" w:hAnsi="仿宋" w:eastAsia="仿宋" w:cs="仿宋"/>
                <w:b w:val="0"/>
                <w:bCs w:val="0"/>
                <w:color w:val="auto"/>
                <w:kern w:val="2"/>
                <w:sz w:val="18"/>
                <w:szCs w:val="18"/>
                <w:highlight w:val="none"/>
                <w:lang w:val="en-US" w:eastAsia="zh-CN"/>
              </w:rPr>
            </w:pPr>
            <w:bookmarkStart w:id="0" w:name="_GoBack"/>
            <w:r>
              <w:rPr>
                <w:rFonts w:hint="eastAsia" w:ascii="仿宋" w:hAnsi="仿宋" w:eastAsia="仿宋" w:cs="仿宋"/>
                <w:color w:val="auto"/>
                <w:kern w:val="2"/>
                <w:sz w:val="18"/>
                <w:szCs w:val="18"/>
                <w:highlight w:val="none"/>
                <w:lang w:val="en-US" w:eastAsia="zh-CN" w:bidi="ar-SA"/>
              </w:rPr>
              <w:t>279.8036</w:t>
            </w:r>
            <w:bookmarkEnd w:id="0"/>
          </w:p>
        </w:tc>
        <w:tc>
          <w:tcPr>
            <w:tcW w:w="950" w:type="dxa"/>
            <w:vAlign w:val="center"/>
          </w:tcPr>
          <w:p>
            <w:pPr>
              <w:spacing w:line="300" w:lineRule="exact"/>
              <w:ind w:left="0" w:leftChars="0" w:firstLine="0" w:firstLineChars="0"/>
              <w:jc w:val="center"/>
              <w:rPr>
                <w:rFonts w:hint="eastAsia" w:ascii="仿宋" w:hAnsi="仿宋" w:eastAsia="仿宋" w:cs="仿宋"/>
                <w:b w:val="0"/>
                <w:bCs w:val="0"/>
                <w:color w:val="auto"/>
                <w:kern w:val="2"/>
                <w:sz w:val="18"/>
                <w:szCs w:val="18"/>
                <w:highlight w:val="none"/>
                <w:lang w:val="en-US" w:eastAsia="zh-CN"/>
              </w:rPr>
            </w:pPr>
            <w:r>
              <w:rPr>
                <w:rFonts w:hint="eastAsia" w:ascii="仿宋" w:hAnsi="仿宋" w:eastAsia="仿宋" w:cs="仿宋"/>
                <w:color w:val="auto"/>
                <w:kern w:val="2"/>
                <w:sz w:val="18"/>
                <w:szCs w:val="18"/>
                <w:highlight w:val="none"/>
                <w:lang w:val="en-US" w:eastAsia="zh-CN" w:bidi="ar-SA"/>
              </w:rPr>
              <w:t>279.8036</w:t>
            </w:r>
          </w:p>
        </w:tc>
        <w:tc>
          <w:tcPr>
            <w:tcW w:w="1231" w:type="dxa"/>
            <w:vMerge w:val="continue"/>
            <w:vAlign w:val="center"/>
          </w:tcPr>
          <w:p>
            <w:pPr>
              <w:spacing w:line="300" w:lineRule="exact"/>
              <w:ind w:left="0" w:leftChars="0" w:firstLine="0" w:firstLineChars="0"/>
              <w:jc w:val="center"/>
              <w:rPr>
                <w:rFonts w:hint="eastAsia" w:ascii="仿宋" w:hAnsi="仿宋" w:eastAsia="仿宋" w:cs="仿宋"/>
                <w:color w:val="auto"/>
                <w:kern w:val="0"/>
                <w:sz w:val="18"/>
                <w:szCs w:val="18"/>
                <w:highlight w:val="none"/>
              </w:rPr>
            </w:pPr>
          </w:p>
        </w:tc>
      </w:tr>
    </w:tbl>
    <w:p>
      <w:pPr>
        <w:keepNext w:val="0"/>
        <w:keepLines w:val="0"/>
        <w:pageBreakBefore w:val="0"/>
        <w:widowControl w:val="0"/>
        <w:tabs>
          <w:tab w:val="left" w:pos="7350"/>
        </w:tabs>
        <w:kinsoku/>
        <w:wordWrap/>
        <w:overflowPunct/>
        <w:topLinePunct w:val="0"/>
        <w:autoSpaceDN/>
        <w:bidi w:val="0"/>
        <w:adjustRightInd/>
        <w:snapToGrid/>
        <w:spacing w:line="540" w:lineRule="exact"/>
        <w:ind w:left="0" w:leftChars="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二、中华人民共和国境内外的法人、自然人和其他组织，除法律法规对申请人另有限制外，均可申请参加。本次挂牌不接受联合申请。</w:t>
      </w:r>
    </w:p>
    <w:p>
      <w:pPr>
        <w:keepNext w:val="0"/>
        <w:keepLines w:val="0"/>
        <w:pageBreakBefore w:val="0"/>
        <w:widowControl w:val="0"/>
        <w:tabs>
          <w:tab w:val="left" w:pos="7350"/>
        </w:tabs>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工业项目用地，竞得人在项目审批时，除满足《工业项目建设用地控制指标》的要求外，还必须遵守城市规划、环境保护等法律法规，并符合国家的产业政策。</w:t>
      </w:r>
    </w:p>
    <w:p>
      <w:pPr>
        <w:keepNext w:val="0"/>
        <w:keepLines w:val="0"/>
        <w:pageBreakBefore w:val="0"/>
        <w:widowControl w:val="0"/>
        <w:tabs>
          <w:tab w:val="left" w:pos="7350"/>
        </w:tabs>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房地产开发用地，申请竞买者须提交保证金不属于银行贷款、股东借款、转贷和募集资金的承诺书及商业金融机构的资信证明。</w:t>
      </w:r>
    </w:p>
    <w:p>
      <w:pPr>
        <w:keepNext w:val="0"/>
        <w:keepLines w:val="0"/>
        <w:pageBreakBefore w:val="0"/>
        <w:widowControl w:val="0"/>
        <w:tabs>
          <w:tab w:val="left" w:pos="7350"/>
        </w:tabs>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w:t>
      </w:r>
      <w:r>
        <w:rPr>
          <w:rStyle w:val="18"/>
          <w:rFonts w:hint="eastAsia" w:ascii="仿宋" w:hAnsi="仿宋" w:eastAsia="仿宋" w:cs="仿宋"/>
          <w:b w:val="0"/>
          <w:color w:val="auto"/>
          <w:sz w:val="32"/>
          <w:szCs w:val="32"/>
          <w:highlight w:val="none"/>
          <w:shd w:val="clear" w:color="auto" w:fill="FFFFFF"/>
        </w:rPr>
        <w:t>竞价原则</w:t>
      </w:r>
    </w:p>
    <w:p>
      <w:pPr>
        <w:keepNext w:val="0"/>
        <w:keepLines w:val="0"/>
        <w:pageBreakBefore w:val="0"/>
        <w:widowControl w:val="0"/>
        <w:tabs>
          <w:tab w:val="left" w:pos="7350"/>
        </w:tabs>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本次国有建设用地使用权挂牌出让按照价高者得原则确定竞得人。</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四、本次挂牌出让的公告时间为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24</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12</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rPr>
        <w:t>，详细资料和具体要求，以挂牌出让文件为准。申请人可于</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24</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rPr>
        <w:t>到乌海市公共</w:t>
      </w:r>
      <w:r>
        <w:rPr>
          <w:rFonts w:hint="eastAsia" w:ascii="仿宋" w:hAnsi="仿宋" w:eastAsia="仿宋" w:cs="仿宋"/>
          <w:color w:val="auto"/>
          <w:sz w:val="32"/>
          <w:szCs w:val="32"/>
          <w:highlight w:val="none"/>
        </w:rPr>
        <w:t>资源交易中心或登陆网站（http:// zrzy.wuhai.gov.cn/或http://www.whggzy.com）或内蒙古自治区网上交易系统（http://110.16.70.81:8090/trade-engine/trade/index）获取本次挂牌出让的出让须知和有关资料（不包括法定节假日）。</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auto"/>
          <w:sz w:val="32"/>
          <w:szCs w:val="32"/>
          <w:highlight w:val="none"/>
        </w:rPr>
        <w:t>五、本次挂牌地点为乌海市公共资源交易中心，</w:t>
      </w:r>
      <w:r>
        <w:rPr>
          <w:rFonts w:hint="eastAsia" w:ascii="仿宋" w:hAnsi="仿宋" w:eastAsia="仿宋" w:cs="仿宋"/>
          <w:color w:val="auto"/>
          <w:sz w:val="32"/>
          <w:szCs w:val="32"/>
          <w:highlight w:val="none"/>
        </w:rPr>
        <w:t>挂牌时间为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日9：00时至202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日16：00时</w:t>
      </w:r>
      <w:r>
        <w:rPr>
          <w:rFonts w:hint="eastAsia" w:ascii="仿宋" w:hAnsi="仿宋" w:eastAsia="仿宋" w:cs="仿宋"/>
          <w:color w:val="000000" w:themeColor="text1"/>
          <w:sz w:val="32"/>
          <w:szCs w:val="32"/>
          <w:highlight w:val="none"/>
          <w14:textFill>
            <w14:solidFill>
              <w14:schemeClr w14:val="tx1"/>
            </w14:solidFill>
          </w14:textFill>
        </w:rPr>
        <w:t>（不包括法定节</w:t>
      </w:r>
      <w:r>
        <w:rPr>
          <w:rFonts w:hint="eastAsia" w:ascii="仿宋" w:hAnsi="仿宋" w:eastAsia="仿宋" w:cs="仿宋"/>
          <w:color w:val="000000" w:themeColor="text1"/>
          <w:sz w:val="32"/>
          <w:szCs w:val="32"/>
          <w:highlight w:val="none"/>
          <w14:textFill>
            <w14:solidFill>
              <w14:schemeClr w14:val="tx1"/>
            </w14:solidFill>
          </w14:textFill>
        </w:rPr>
        <w:t>假日）。</w:t>
      </w:r>
    </w:p>
    <w:p>
      <w:pPr>
        <w:keepNext w:val="0"/>
        <w:keepLines w:val="0"/>
        <w:pageBreakBefore w:val="0"/>
        <w:widowControl w:val="0"/>
        <w:kinsoku/>
        <w:wordWrap/>
        <w:overflowPunct/>
        <w:topLinePunct w:val="0"/>
        <w:autoSpaceDN/>
        <w:bidi w:val="0"/>
        <w:adjustRightInd/>
        <w:snapToGrid/>
        <w:spacing w:line="540" w:lineRule="exact"/>
        <w:ind w:left="0" w:firstLine="645"/>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keepNext w:val="0"/>
        <w:keepLines w:val="0"/>
        <w:pageBreakBefore w:val="0"/>
        <w:widowControl w:val="0"/>
        <w:kinsoku/>
        <w:wordWrap/>
        <w:overflowPunct/>
        <w:topLinePunct w:val="0"/>
        <w:autoSpaceDN/>
        <w:bidi w:val="0"/>
        <w:adjustRightInd/>
        <w:snapToGrid/>
        <w:spacing w:line="540" w:lineRule="exact"/>
        <w:ind w:left="0" w:firstLine="645"/>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CA证书的办理流程详见乌海市公共资源交易中心网站办事指南中CA办理指南。</w:t>
      </w:r>
    </w:p>
    <w:p>
      <w:pPr>
        <w:keepNext w:val="0"/>
        <w:keepLines w:val="0"/>
        <w:pageBreakBefore w:val="0"/>
        <w:widowControl w:val="0"/>
        <w:kinsoku/>
        <w:wordWrap/>
        <w:overflowPunct/>
        <w:topLinePunct w:val="0"/>
        <w:autoSpaceDN/>
        <w:bidi w:val="0"/>
        <w:adjustRightInd/>
        <w:snapToGrid/>
        <w:spacing w:line="540" w:lineRule="exact"/>
        <w:ind w:left="0" w:firstLine="645"/>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七、</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竞买保证金缴纳</w:t>
      </w:r>
    </w:p>
    <w:p>
      <w:pPr>
        <w:keepNext w:val="0"/>
        <w:keepLines w:val="0"/>
        <w:pageBreakBefore w:val="0"/>
        <w:widowControl w:val="0"/>
        <w:kinsoku/>
        <w:wordWrap/>
        <w:overflowPunct/>
        <w:topLinePunct w:val="0"/>
        <w:autoSpaceDN/>
        <w:bidi w:val="0"/>
        <w:adjustRightInd/>
        <w:snapToGrid/>
        <w:spacing w:line="540" w:lineRule="exact"/>
        <w:ind w:left="0" w:firstLine="645"/>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21</w:t>
      </w:r>
      <w:r>
        <w:rPr>
          <w:rFonts w:hint="eastAsia" w:ascii="仿宋" w:hAnsi="仿宋" w:eastAsia="仿宋" w:cs="仿宋"/>
          <w:color w:val="auto"/>
          <w:sz w:val="32"/>
          <w:szCs w:val="32"/>
          <w:highlight w:val="none"/>
        </w:rPr>
        <w:t>日16：00时</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八、确定竞得人的标准和方法</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hint="eastAsia" w:ascii="仿宋" w:hAnsi="仿宋" w:eastAsia="仿宋" w:cs="仿宋"/>
          <w:bCs/>
          <w:color w:val="000000" w:themeColor="text1"/>
          <w:sz w:val="32"/>
          <w:szCs w:val="32"/>
          <w:highlight w:val="none"/>
          <w14:textFill>
            <w14:solidFill>
              <w14:schemeClr w14:val="tx1"/>
            </w14:solidFill>
          </w14:textFill>
        </w:rPr>
        <w:t>（以资金划入指定账户为准）。</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s="仿宋"/>
          <w:color w:val="FF0000"/>
          <w:sz w:val="32"/>
          <w:szCs w:val="32"/>
          <w:highlight w:val="none"/>
          <w:shd w:val="clear" w:color="auto" w:fill="FFFFFF"/>
          <w:lang w:eastAsia="zh-CN"/>
        </w:rPr>
        <w:t>（</w:t>
      </w:r>
      <w:r>
        <w:rPr>
          <w:rFonts w:hint="eastAsia" w:ascii="仿宋" w:hAnsi="仿宋" w:eastAsia="仿宋" w:cs="仿宋"/>
          <w:color w:val="FF0000"/>
          <w:sz w:val="32"/>
          <w:szCs w:val="32"/>
          <w:highlight w:val="none"/>
          <w:shd w:val="clear" w:color="auto" w:fill="FFFFFF"/>
          <w:lang w:val="en-US" w:eastAsia="zh-CN"/>
        </w:rPr>
        <w:t>提示：竞买人报价后可以刷新页面确定报价是否成功，请不要连续点击报价按钮，避免重复报价）</w:t>
      </w: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网上挂牌期限截止时，如果只有一个竞买人报价：设有底价的资源，交易系统判定报价是否低于底价,高于底价且符合其他条件的确定其为预竞得人;低于底价的,挂牌不成交。不设置底价的系统直接确定其为预竞得人。</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color w:val="000000" w:themeColor="text1"/>
          <w:sz w:val="32"/>
          <w:szCs w:val="32"/>
          <w:highlight w:val="none"/>
          <w:shd w:val="clear" w:color="auto" w:fill="FFFFFF"/>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keepNext w:val="0"/>
        <w:keepLines w:val="0"/>
        <w:pageBreakBefore w:val="0"/>
        <w:widowControl w:val="0"/>
        <w:kinsoku/>
        <w:wordWrap/>
        <w:overflowPunct/>
        <w:topLinePunct w:val="0"/>
        <w:autoSpaceDN/>
        <w:bidi w:val="0"/>
        <w:adjustRightInd/>
        <w:snapToGrid/>
        <w:spacing w:line="540" w:lineRule="exact"/>
        <w:ind w:left="0" w:firstLine="640" w:firstLineChars="200"/>
        <w:textAlignment w:val="baseline"/>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shd w:val="clear" w:color="auto" w:fill="FFFFFF"/>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网上挂牌期限截止时，无人报价的，挂牌结束，资源不成交。</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九、查询网址：</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中国土地市场网 (http://www.landchina.com)</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乌海市自然资源局（http://zrzy.wuhai.gov.cn/)</w:t>
      </w:r>
    </w:p>
    <w:p>
      <w:pPr>
        <w:keepNext w:val="0"/>
        <w:keepLines w:val="0"/>
        <w:pageBreakBefore w:val="0"/>
        <w:widowControl w:val="0"/>
        <w:kinsoku/>
        <w:wordWrap/>
        <w:overflowPunct/>
        <w:topLinePunct w:val="0"/>
        <w:autoSpaceDE w:val="0"/>
        <w:autoSpaceDN/>
        <w:bidi w:val="0"/>
        <w:adjustRightInd/>
        <w:snapToGrid/>
        <w:spacing w:line="540" w:lineRule="exact"/>
        <w:ind w:left="0"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乌海市公共资源交易中心（</w:t>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"http://www.whggzy.com"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20"/>
          <w:rFonts w:hint="eastAsia" w:ascii="仿宋" w:hAnsi="仿宋" w:eastAsia="仿宋" w:cs="仿宋"/>
          <w:color w:val="000000" w:themeColor="text1"/>
          <w:sz w:val="32"/>
          <w:szCs w:val="32"/>
          <w:highlight w:val="none"/>
          <w:u w:val="none"/>
          <w14:textFill>
            <w14:solidFill>
              <w14:schemeClr w14:val="tx1"/>
            </w14:solidFill>
          </w14:textFill>
        </w:rPr>
        <w:t>http://www.whggzy.com</w:t>
      </w:r>
      <w:r>
        <w:rPr>
          <w:rStyle w:val="20"/>
          <w:rFonts w:hint="eastAsia" w:ascii="仿宋" w:hAnsi="仿宋" w:eastAsia="仿宋" w:cs="仿宋"/>
          <w:color w:val="000000" w:themeColor="text1"/>
          <w:sz w:val="32"/>
          <w:szCs w:val="32"/>
          <w:highlight w:val="none"/>
          <w:u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left="0" w:firstLine="640"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内蒙古自治区公共资源交易网(</w:t>
      </w:r>
      <w:r>
        <w:rPr>
          <w:rFonts w:hint="eastAsia" w:ascii="仿宋" w:hAnsi="仿宋" w:eastAsia="仿宋" w:cs="仿宋"/>
          <w:color w:val="000000" w:themeColor="text1"/>
          <w:sz w:val="32"/>
          <w:szCs w:val="32"/>
          <w:highlight w:val="none"/>
          <w14:textFill>
            <w14:solidFill>
              <w14:schemeClr w14:val="tx1"/>
            </w14:solidFill>
          </w14:textFill>
        </w:rPr>
        <w:fldChar w:fldCharType="begin"/>
      </w:r>
      <w:r>
        <w:rPr>
          <w:rFonts w:hint="eastAsia" w:ascii="仿宋" w:hAnsi="仿宋" w:eastAsia="仿宋" w:cs="仿宋"/>
          <w:color w:val="000000" w:themeColor="text1"/>
          <w:sz w:val="32"/>
          <w:szCs w:val="32"/>
          <w:highlight w:val="none"/>
          <w14:textFill>
            <w14:solidFill>
              <w14:schemeClr w14:val="tx1"/>
            </w14:solidFill>
          </w14:textFill>
        </w:rPr>
        <w:instrText xml:space="preserve"> HYPERLINK "http://ggzyjy.nmg.gov.cn/" </w:instrText>
      </w:r>
      <w:r>
        <w:rPr>
          <w:rFonts w:hint="eastAsia" w:ascii="仿宋" w:hAnsi="仿宋" w:eastAsia="仿宋" w:cs="仿宋"/>
          <w:color w:val="000000" w:themeColor="text1"/>
          <w:sz w:val="32"/>
          <w:szCs w:val="32"/>
          <w:highlight w:val="none"/>
          <w14:textFill>
            <w14:solidFill>
              <w14:schemeClr w14:val="tx1"/>
            </w14:solidFill>
          </w14:textFill>
        </w:rPr>
        <w:fldChar w:fldCharType="separate"/>
      </w:r>
      <w:r>
        <w:rPr>
          <w:rStyle w:val="20"/>
          <w:rFonts w:hint="eastAsia" w:ascii="仿宋" w:hAnsi="仿宋" w:eastAsia="仿宋" w:cs="仿宋"/>
          <w:color w:val="000000" w:themeColor="text1"/>
          <w:sz w:val="32"/>
          <w:szCs w:val="32"/>
          <w:highlight w:val="none"/>
          <w:u w:val="none"/>
          <w14:textFill>
            <w14:solidFill>
              <w14:schemeClr w14:val="tx1"/>
            </w14:solidFill>
          </w14:textFill>
        </w:rPr>
        <w:t>http://ggzyjy.nmg.gov.cn/</w:t>
      </w:r>
      <w:r>
        <w:rPr>
          <w:rStyle w:val="20"/>
          <w:rFonts w:hint="eastAsia" w:ascii="仿宋" w:hAnsi="仿宋" w:eastAsia="仿宋" w:cs="仿宋"/>
          <w:color w:val="000000" w:themeColor="text1"/>
          <w:sz w:val="32"/>
          <w:szCs w:val="32"/>
          <w:highlight w:val="none"/>
          <w:u w:val="none"/>
          <w14:textFill>
            <w14:solidFill>
              <w14:schemeClr w14:val="tx1"/>
            </w14:solidFill>
          </w14:textFill>
        </w:rPr>
        <w:fldChar w:fldCharType="end"/>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val="0"/>
        <w:autoSpaceDN/>
        <w:bidi w:val="0"/>
        <w:adjustRightInd/>
        <w:snapToGrid/>
        <w:spacing w:line="540" w:lineRule="exact"/>
        <w:ind w:left="479" w:leftChars="228" w:firstLine="160" w:firstLineChars="5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内蒙古自治区自然资源网上交易系统（http://110.16.70.81:8090/trade-engine/trade/index）</w:t>
      </w:r>
    </w:p>
    <w:p>
      <w:pPr>
        <w:keepNext w:val="0"/>
        <w:keepLines w:val="0"/>
        <w:pageBreakBefore w:val="0"/>
        <w:widowControl w:val="0"/>
        <w:kinsoku/>
        <w:wordWrap/>
        <w:overflowPunct/>
        <w:topLinePunct w:val="0"/>
        <w:autoSpaceDN/>
        <w:bidi w:val="0"/>
        <w:adjustRightInd/>
        <w:snapToGrid/>
        <w:spacing w:line="540" w:lineRule="exact"/>
        <w:ind w:left="0" w:firstLine="640" w:firstLineChars="200"/>
        <w:jc w:val="left"/>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十、乌海市公共资源交易中心联系人：王工   张工 </w:t>
      </w:r>
    </w:p>
    <w:p>
      <w:pPr>
        <w:keepNext w:val="0"/>
        <w:keepLines w:val="0"/>
        <w:pageBreakBefore w:val="0"/>
        <w:widowControl w:val="0"/>
        <w:kinsoku/>
        <w:wordWrap/>
        <w:overflowPunct/>
        <w:topLinePunct w:val="0"/>
        <w:autoSpaceDN/>
        <w:bidi w:val="0"/>
        <w:adjustRightInd/>
        <w:snapToGrid/>
        <w:spacing w:line="540" w:lineRule="exact"/>
        <w:ind w:left="6380" w:leftChars="600" w:hanging="5120" w:hangingChars="1600"/>
        <w:jc w:val="left"/>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乌海市公共资源交易中心联系电话：0473-2999715  0473-2999760</w:t>
      </w:r>
    </w:p>
    <w:p>
      <w:pPr>
        <w:keepNext w:val="0"/>
        <w:keepLines w:val="0"/>
        <w:pageBreakBefore w:val="0"/>
        <w:widowControl w:val="0"/>
        <w:kinsoku/>
        <w:wordWrap/>
        <w:overflowPunct/>
        <w:topLinePunct w:val="0"/>
        <w:autoSpaceDN/>
        <w:bidi w:val="0"/>
        <w:adjustRightInd/>
        <w:snapToGrid/>
        <w:spacing w:line="540" w:lineRule="exact"/>
        <w:ind w:left="0" w:firstLine="1280" w:firstLineChars="4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乌海市自然资源局海南分局联系人:刘婧 </w:t>
      </w:r>
    </w:p>
    <w:p>
      <w:pPr>
        <w:keepNext w:val="0"/>
        <w:keepLines w:val="0"/>
        <w:pageBreakBefore w:val="0"/>
        <w:widowControl w:val="0"/>
        <w:kinsoku/>
        <w:wordWrap/>
        <w:overflowPunct/>
        <w:topLinePunct w:val="0"/>
        <w:autoSpaceDN/>
        <w:bidi w:val="0"/>
        <w:adjustRightInd/>
        <w:snapToGrid/>
        <w:spacing w:line="540" w:lineRule="exact"/>
        <w:ind w:left="0" w:firstLine="1280" w:firstLineChars="400"/>
        <w:textAlignment w:val="baseline"/>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乌海市自然资源局海南分局联系电话:0473-6977506</w:t>
      </w:r>
    </w:p>
    <w:p>
      <w:pPr>
        <w:keepNext w:val="0"/>
        <w:keepLines w:val="0"/>
        <w:pageBreakBefore w:val="0"/>
        <w:widowControl w:val="0"/>
        <w:kinsoku/>
        <w:wordWrap/>
        <w:overflowPunct/>
        <w:topLinePunct w:val="0"/>
        <w:autoSpaceDN/>
        <w:bidi w:val="0"/>
        <w:adjustRightInd/>
        <w:snapToGrid/>
        <w:spacing w:line="540" w:lineRule="exact"/>
        <w:ind w:firstLine="1280" w:firstLineChars="400"/>
        <w:jc w:val="right"/>
        <w:textAlignment w:val="baseline"/>
        <w:rPr>
          <w:rFonts w:hint="eastAsia" w:ascii="仿宋" w:hAnsi="仿宋" w:eastAsia="仿宋" w:cs="仿宋"/>
          <w:color w:val="000000" w:themeColor="text1"/>
          <w:sz w:val="32"/>
          <w:szCs w:val="32"/>
          <w:highlight w:val="none"/>
          <w14:textFill>
            <w14:solidFill>
              <w14:schemeClr w14:val="tx1"/>
            </w14:solidFill>
          </w14:textFill>
        </w:rPr>
      </w:pPr>
    </w:p>
    <w:p>
      <w:pPr>
        <w:pStyle w:val="2"/>
        <w:ind w:left="0" w:leftChars="0" w:firstLine="0" w:firstLineChars="0"/>
        <w:rPr>
          <w:rFonts w:hint="eastAsia" w:ascii="仿宋" w:hAnsi="仿宋" w:eastAsia="仿宋" w:cs="仿宋"/>
          <w:sz w:val="32"/>
          <w:szCs w:val="32"/>
          <w:highlight w:val="none"/>
        </w:rPr>
      </w:pPr>
    </w:p>
    <w:p>
      <w:pPr>
        <w:keepNext w:val="0"/>
        <w:keepLines w:val="0"/>
        <w:pageBreakBefore w:val="0"/>
        <w:widowControl w:val="0"/>
        <w:kinsoku/>
        <w:wordWrap/>
        <w:overflowPunct/>
        <w:topLinePunct w:val="0"/>
        <w:autoSpaceDN/>
        <w:bidi w:val="0"/>
        <w:adjustRightInd/>
        <w:snapToGrid/>
        <w:spacing w:line="540" w:lineRule="exact"/>
        <w:ind w:firstLine="1280" w:firstLineChars="400"/>
        <w:jc w:val="right"/>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乌海</w:t>
      </w:r>
      <w:r>
        <w:rPr>
          <w:rFonts w:hint="eastAsia" w:ascii="仿宋" w:hAnsi="仿宋" w:eastAsia="仿宋" w:cs="仿宋"/>
          <w:color w:val="000000" w:themeColor="text1"/>
          <w:sz w:val="32"/>
          <w:szCs w:val="32"/>
          <w:highlight w:val="none"/>
          <w14:textFill>
            <w14:solidFill>
              <w14:schemeClr w14:val="tx1"/>
            </w14:solidFill>
          </w14:textFill>
        </w:rPr>
        <w:t>市公共资源交易中心</w:t>
      </w:r>
    </w:p>
    <w:p>
      <w:pPr>
        <w:keepNext w:val="0"/>
        <w:keepLines w:val="0"/>
        <w:pageBreakBefore w:val="0"/>
        <w:widowControl w:val="0"/>
        <w:kinsoku/>
        <w:wordWrap/>
        <w:overflowPunct/>
        <w:topLinePunct w:val="0"/>
        <w:autoSpaceDN/>
        <w:bidi w:val="0"/>
        <w:adjustRightInd/>
        <w:snapToGrid/>
        <w:spacing w:line="540" w:lineRule="exact"/>
        <w:ind w:firstLine="1280" w:firstLineChars="400"/>
        <w:jc w:val="right"/>
        <w:textAlignment w:val="baseline"/>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24</w:t>
      </w:r>
      <w:r>
        <w:rPr>
          <w:rFonts w:hint="eastAsia" w:ascii="仿宋" w:hAnsi="仿宋" w:eastAsia="仿宋" w:cs="仿宋"/>
          <w:color w:val="auto"/>
          <w:sz w:val="32"/>
          <w:szCs w:val="32"/>
          <w:highlight w:val="none"/>
        </w:rPr>
        <w:t>日</w:t>
      </w:r>
      <w:r>
        <w:rPr>
          <w:rFonts w:hint="eastAsia" w:ascii="仿宋" w:hAnsi="仿宋" w:eastAsia="仿宋"/>
          <w:color w:val="auto"/>
          <w:sz w:val="32"/>
          <w:szCs w:val="32"/>
          <w:highlight w:val="none"/>
        </w:rPr>
        <w:t xml:space="preserve"> </w:t>
      </w: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p>
    <w:p>
      <w:pPr>
        <w:tabs>
          <w:tab w:val="left" w:pos="776"/>
          <w:tab w:val="center" w:pos="4884"/>
        </w:tabs>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highlight w:val="none"/>
          <w14:textFill>
            <w14:solidFill>
              <w14:schemeClr w14:val="tx1"/>
            </w14:solidFill>
          </w14:textFill>
        </w:rPr>
        <w:t>乌海市国有建设用地使用权挂牌出让须知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bottom"/>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w:t>
      </w:r>
      <w:r>
        <w:rPr>
          <w:rFonts w:hint="eastAsia" w:ascii="仿宋" w:hAnsi="仿宋" w:eastAsia="仿宋" w:cs="仿宋"/>
          <w:color w:val="000000" w:themeColor="text1"/>
          <w:sz w:val="32"/>
          <w:szCs w:val="32"/>
          <w:highlight w:val="none"/>
          <w:lang w:eastAsia="zh-CN"/>
          <w14:textFill>
            <w14:solidFill>
              <w14:schemeClr w14:val="tx1"/>
            </w14:solidFill>
          </w14:textFill>
        </w:rPr>
        <w:t>海南区</w:t>
      </w:r>
      <w:r>
        <w:rPr>
          <w:rFonts w:hint="eastAsia" w:ascii="仿宋" w:hAnsi="仿宋" w:eastAsia="仿宋" w:cs="仿宋"/>
          <w:color w:val="000000" w:themeColor="text1"/>
          <w:sz w:val="32"/>
          <w:szCs w:val="32"/>
          <w:highlight w:val="none"/>
          <w14:textFill>
            <w14:solidFill>
              <w14:schemeClr w14:val="tx1"/>
            </w14:solidFill>
          </w14:textFill>
        </w:rPr>
        <w:t>人民政府批准，乌海市自然资源局</w:t>
      </w:r>
      <w:r>
        <w:rPr>
          <w:rFonts w:hint="eastAsia" w:ascii="仿宋" w:hAnsi="仿宋" w:eastAsia="仿宋" w:cs="仿宋"/>
          <w:color w:val="000000" w:themeColor="text1"/>
          <w:sz w:val="32"/>
          <w:szCs w:val="32"/>
          <w:highlight w:val="none"/>
          <w:lang w:val="en-US" w:eastAsia="zh-CN"/>
          <w14:textFill>
            <w14:solidFill>
              <w14:schemeClr w14:val="tx1"/>
            </w14:solidFill>
          </w14:textFill>
        </w:rPr>
        <w:t>海南</w:t>
      </w:r>
      <w:r>
        <w:rPr>
          <w:rFonts w:hint="eastAsia" w:ascii="仿宋" w:hAnsi="仿宋" w:eastAsia="仿宋" w:cs="仿宋"/>
          <w:color w:val="000000" w:themeColor="text1"/>
          <w:sz w:val="32"/>
          <w:szCs w:val="32"/>
          <w:highlight w:val="none"/>
          <w14:textFill>
            <w14:solidFill>
              <w14:schemeClr w14:val="tx1"/>
            </w14:solidFill>
          </w14:textFill>
        </w:rPr>
        <w:t>分局以挂牌方式出让</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宗地块的国有建设用地使用权。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一、本次国有建设用地使用权挂牌出让的出让人为乌海市自然资源局</w:t>
      </w:r>
      <w:r>
        <w:rPr>
          <w:rFonts w:hint="eastAsia" w:ascii="仿宋" w:hAnsi="仿宋" w:eastAsia="仿宋" w:cs="仿宋"/>
          <w:color w:val="000000" w:themeColor="text1"/>
          <w:sz w:val="32"/>
          <w:szCs w:val="32"/>
          <w:highlight w:val="none"/>
          <w:lang w:val="en-US" w:eastAsia="zh-CN"/>
          <w14:textFill>
            <w14:solidFill>
              <w14:schemeClr w14:val="tx1"/>
            </w14:solidFill>
          </w14:textFill>
        </w:rPr>
        <w:t>海南</w:t>
      </w:r>
      <w:r>
        <w:rPr>
          <w:rFonts w:hint="eastAsia" w:ascii="仿宋" w:hAnsi="仿宋" w:eastAsia="仿宋" w:cs="仿宋"/>
          <w:color w:val="000000" w:themeColor="text1"/>
          <w:sz w:val="32"/>
          <w:szCs w:val="32"/>
          <w:highlight w:val="none"/>
          <w14:textFill>
            <w14:solidFill>
              <w14:schemeClr w14:val="tx1"/>
            </w14:solidFill>
          </w14:textFill>
        </w:rPr>
        <w:t>分局，具体组织实施由乌海市公共资源交易中心负责。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二、本次国有建设用地使用权挂牌出让遵循公开、公平、公正和诚实信用的原则。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三、出让地块的基本情况及规划指标要求等：</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一号地块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color w:val="auto"/>
          <w:kern w:val="2"/>
          <w:sz w:val="32"/>
          <w:szCs w:val="32"/>
          <w:highlight w:val="none"/>
          <w:u w:val="none"/>
          <w:lang w:val="en-US" w:eastAsia="zh-CN"/>
        </w:rPr>
        <w:t>海南产业园西来峰项目区</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b w:val="0"/>
          <w:bCs w:val="0"/>
          <w:color w:val="auto"/>
          <w:kern w:val="2"/>
          <w:sz w:val="32"/>
          <w:szCs w:val="32"/>
          <w:highlight w:val="none"/>
          <w:u w:val="none"/>
          <w:lang w:val="en-US" w:eastAsia="zh-CN"/>
        </w:rPr>
        <w:t>42629.93平方米</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b w:val="0"/>
          <w:bCs w:val="0"/>
          <w:color w:val="auto"/>
          <w:kern w:val="2"/>
          <w:sz w:val="32"/>
          <w:szCs w:val="32"/>
          <w:highlight w:val="none"/>
          <w:u w:val="none"/>
          <w:lang w:val="en-US"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color w:val="auto"/>
          <w:kern w:val="2"/>
          <w:sz w:val="32"/>
          <w:szCs w:val="32"/>
          <w:highlight w:val="none"/>
          <w:u w:val="none"/>
          <w:lang w:val="en-US" w:eastAsia="zh-CN" w:bidi="ar-SA"/>
        </w:rPr>
        <w:t>50</w:t>
      </w:r>
      <w:r>
        <w:rPr>
          <w:rFonts w:hint="eastAsia" w:ascii="仿宋" w:hAnsi="仿宋" w:eastAsia="仿宋" w:cs="仿宋"/>
          <w:sz w:val="32"/>
          <w:szCs w:val="32"/>
          <w:highlight w:val="none"/>
          <w:u w:val="none"/>
          <w:lang w:val="en-US" w:eastAsia="zh-CN"/>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color w:val="auto"/>
          <w:kern w:val="2"/>
          <w:sz w:val="32"/>
          <w:szCs w:val="32"/>
          <w:highlight w:val="none"/>
          <w:u w:val="none"/>
        </w:rPr>
      </w:pPr>
      <w:r>
        <w:rPr>
          <w:rFonts w:hint="eastAsia" w:ascii="仿宋" w:hAnsi="仿宋" w:eastAsia="仿宋" w:cs="仿宋"/>
          <w:color w:val="000000" w:themeColor="text1"/>
          <w:sz w:val="32"/>
          <w:szCs w:val="32"/>
          <w:highlight w:val="none"/>
          <w14:textFill>
            <w14:solidFill>
              <w14:schemeClr w14:val="tx1"/>
            </w14:solidFill>
          </w14:textFill>
        </w:rPr>
        <w:t>（六）</w:t>
      </w:r>
      <w:r>
        <w:rPr>
          <w:rFonts w:hint="eastAsia" w:ascii="仿宋" w:hAnsi="仿宋" w:eastAsia="仿宋" w:cs="仿宋"/>
          <w:sz w:val="32"/>
          <w:szCs w:val="32"/>
          <w:highlight w:val="none"/>
          <w:u w:val="none"/>
        </w:rPr>
        <w:t>规划用地性质：</w:t>
      </w:r>
      <w:r>
        <w:rPr>
          <w:rFonts w:hint="eastAsia" w:ascii="仿宋" w:hAnsi="仿宋" w:eastAsia="仿宋" w:cs="仿宋"/>
          <w:color w:val="auto"/>
          <w:kern w:val="2"/>
          <w:sz w:val="32"/>
          <w:szCs w:val="32"/>
          <w:highlight w:val="none"/>
          <w:u w:val="none"/>
          <w:lang w:eastAsia="zh-CN"/>
        </w:rPr>
        <w:t>工业</w:t>
      </w:r>
      <w:r>
        <w:rPr>
          <w:rFonts w:hint="eastAsia" w:ascii="仿宋" w:hAnsi="仿宋" w:eastAsia="仿宋" w:cs="仿宋"/>
          <w:color w:val="auto"/>
          <w:kern w:val="2"/>
          <w:sz w:val="32"/>
          <w:szCs w:val="32"/>
          <w:highlight w:val="none"/>
          <w:u w:val="none"/>
        </w:rPr>
        <w:t>用地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u w:val="none"/>
        </w:rPr>
        <w:t>投资强度：≥</w:t>
      </w:r>
      <w:r>
        <w:rPr>
          <w:rFonts w:hint="eastAsia" w:ascii="仿宋" w:hAnsi="仿宋" w:eastAsia="仿宋" w:cs="仿宋"/>
          <w:sz w:val="32"/>
          <w:szCs w:val="32"/>
          <w:highlight w:val="none"/>
          <w:u w:val="none"/>
          <w:lang w:val="en-US" w:eastAsia="zh-CN"/>
        </w:rPr>
        <w:t>3000</w:t>
      </w:r>
      <w:r>
        <w:rPr>
          <w:rFonts w:hint="eastAsia" w:ascii="仿宋" w:hAnsi="仿宋" w:eastAsia="仿宋" w:cs="仿宋"/>
          <w:sz w:val="32"/>
          <w:szCs w:val="32"/>
          <w:highlight w:val="none"/>
          <w:u w:val="none"/>
        </w:rPr>
        <w:t>万元/公顷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lang w:val="en-US" w:eastAsia="zh-CN"/>
        </w:rPr>
        <w:t>（八）</w:t>
      </w:r>
      <w:r>
        <w:rPr>
          <w:rFonts w:hint="eastAsia" w:ascii="仿宋" w:hAnsi="仿宋" w:eastAsia="仿宋" w:cs="仿宋"/>
          <w:sz w:val="32"/>
          <w:szCs w:val="32"/>
          <w:highlight w:val="none"/>
          <w:u w:val="none"/>
        </w:rPr>
        <w:t>容积率：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0.7</w:t>
      </w:r>
      <w:r>
        <w:rPr>
          <w:rFonts w:hint="eastAsia" w:ascii="仿宋" w:hAnsi="仿宋" w:eastAsia="仿宋" w:cs="仿宋"/>
          <w:sz w:val="32"/>
          <w:szCs w:val="32"/>
          <w:highlight w:val="none"/>
          <w:u w:val="none"/>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九</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u w:val="none"/>
          <w:lang w:val="en-US" w:eastAsia="zh-CN"/>
        </w:rPr>
        <w:t>亩均年税收：≥15万元/亩</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rPr>
          <w:rFonts w:hint="eastAsia" w:ascii="仿宋" w:hAnsi="仿宋" w:eastAsia="仿宋" w:cs="仿宋"/>
          <w:sz w:val="32"/>
          <w:szCs w:val="32"/>
          <w:highlight w:val="none"/>
          <w:u w:val="none"/>
          <w:lang w:val="en-US" w:eastAsia="zh-CN"/>
        </w:rPr>
      </w:pPr>
      <w:r>
        <w:rPr>
          <w:rFonts w:hint="eastAsia" w:ascii="仿宋" w:hAnsi="仿宋" w:eastAsia="仿宋" w:cs="仿宋"/>
          <w:sz w:val="32"/>
          <w:szCs w:val="32"/>
          <w:highlight w:val="none"/>
          <w:lang w:val="en-US" w:eastAsia="zh-CN"/>
        </w:rPr>
        <w:t>（十）</w:t>
      </w:r>
      <w:r>
        <w:rPr>
          <w:rFonts w:hint="eastAsia" w:ascii="仿宋" w:hAnsi="仿宋" w:eastAsia="仿宋" w:cs="仿宋"/>
          <w:sz w:val="32"/>
          <w:szCs w:val="32"/>
          <w:highlight w:val="none"/>
          <w:u w:val="none"/>
          <w:lang w:val="en-US" w:eastAsia="zh-CN"/>
        </w:rPr>
        <w:t>亩均年工业增加值：≥150万元/亩</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lang w:val="en-US" w:eastAsia="zh-CN"/>
        </w:rPr>
        <w:t>（十一）</w:t>
      </w:r>
      <w:r>
        <w:rPr>
          <w:rFonts w:hint="eastAsia" w:ascii="仿宋" w:hAnsi="仿宋" w:eastAsia="仿宋" w:cs="仿宋"/>
          <w:sz w:val="32"/>
          <w:szCs w:val="32"/>
          <w:highlight w:val="none"/>
          <w:u w:val="none"/>
          <w:lang w:val="en-US" w:eastAsia="zh-CN"/>
        </w:rPr>
        <w:t>亩均年产值：≥500万元/亩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u w:val="none"/>
        </w:rPr>
        <w:t>建筑</w:t>
      </w:r>
      <w:r>
        <w:rPr>
          <w:rFonts w:hint="eastAsia" w:ascii="仿宋" w:hAnsi="仿宋" w:eastAsia="仿宋" w:cs="仿宋"/>
          <w:sz w:val="32"/>
          <w:szCs w:val="32"/>
          <w:highlight w:val="none"/>
          <w:u w:val="none"/>
          <w:lang w:eastAsia="zh-CN"/>
        </w:rPr>
        <w:t>系数</w:t>
      </w:r>
      <w:r>
        <w:rPr>
          <w:rFonts w:hint="eastAsia" w:ascii="仿宋" w:hAnsi="仿宋" w:eastAsia="仿宋" w:cs="仿宋"/>
          <w:sz w:val="32"/>
          <w:szCs w:val="32"/>
          <w:highlight w:val="none"/>
          <w:u w:val="none"/>
        </w:rPr>
        <w:t>：</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30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u w:val="none"/>
        </w:rPr>
      </w:pPr>
      <w:r>
        <w:rPr>
          <w:rFonts w:hint="eastAsia" w:ascii="仿宋" w:hAnsi="仿宋" w:eastAsia="仿宋" w:cs="仿宋"/>
          <w:sz w:val="32"/>
          <w:szCs w:val="32"/>
          <w:highlight w:val="none"/>
          <w:lang w:val="en-US" w:eastAsia="zh-CN"/>
        </w:rPr>
        <w:t>（十三）</w:t>
      </w:r>
      <w:r>
        <w:rPr>
          <w:rFonts w:hint="eastAsia" w:ascii="仿宋" w:hAnsi="仿宋" w:eastAsia="仿宋" w:cs="仿宋"/>
          <w:sz w:val="32"/>
          <w:szCs w:val="32"/>
          <w:highlight w:val="none"/>
          <w:u w:val="none"/>
        </w:rPr>
        <w:t>绿地率：</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lang w:val="en-US" w:eastAsia="zh-CN"/>
        </w:rPr>
        <w:t>20</w:t>
      </w:r>
      <w:r>
        <w:rPr>
          <w:rFonts w:hint="eastAsia" w:ascii="仿宋" w:hAnsi="仿宋" w:eastAsia="仿宋" w:cs="仿宋"/>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（十四）</w:t>
      </w:r>
      <w:r>
        <w:rPr>
          <w:rFonts w:hint="eastAsia" w:ascii="仿宋" w:hAnsi="仿宋" w:eastAsia="仿宋" w:cs="仿宋"/>
          <w:sz w:val="32"/>
          <w:szCs w:val="32"/>
          <w:highlight w:val="none"/>
          <w:u w:val="none"/>
          <w:lang w:val="en-US" w:eastAsia="zh-CN"/>
        </w:rPr>
        <w:t>建筑限高：≤30米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（十五）</w:t>
      </w:r>
      <w:r>
        <w:rPr>
          <w:rFonts w:hint="eastAsia" w:ascii="仿宋" w:hAnsi="仿宋" w:eastAsia="仿宋" w:cs="仿宋"/>
          <w:sz w:val="32"/>
          <w:szCs w:val="32"/>
          <w:highlight w:val="none"/>
        </w:rPr>
        <w:t>建筑物退让：</w:t>
      </w:r>
      <w:r>
        <w:rPr>
          <w:rFonts w:hint="eastAsia" w:ascii="仿宋" w:hAnsi="仿宋" w:eastAsia="仿宋" w:cs="仿宋"/>
          <w:sz w:val="32"/>
          <w:szCs w:val="32"/>
          <w:highlight w:val="none"/>
          <w:u w:val="none"/>
        </w:rPr>
        <w:t>建</w:t>
      </w:r>
      <w:r>
        <w:rPr>
          <w:rFonts w:hint="eastAsia" w:ascii="仿宋" w:hAnsi="仿宋" w:eastAsia="仿宋" w:cs="仿宋"/>
          <w:sz w:val="32"/>
          <w:szCs w:val="32"/>
          <w:highlight w:val="none"/>
          <w:u w:val="none"/>
          <w:lang w:eastAsia="zh-CN"/>
        </w:rPr>
        <w:t>（构）</w:t>
      </w:r>
      <w:r>
        <w:rPr>
          <w:rFonts w:hint="eastAsia" w:ascii="仿宋" w:hAnsi="仿宋" w:eastAsia="仿宋" w:cs="仿宋"/>
          <w:sz w:val="32"/>
          <w:szCs w:val="32"/>
          <w:highlight w:val="none"/>
          <w:u w:val="none"/>
        </w:rPr>
        <w:t>筑</w:t>
      </w:r>
      <w:r>
        <w:rPr>
          <w:rFonts w:hint="eastAsia" w:ascii="仿宋" w:hAnsi="仿宋" w:eastAsia="仿宋" w:cs="仿宋"/>
          <w:sz w:val="32"/>
          <w:szCs w:val="32"/>
          <w:highlight w:val="none"/>
          <w:u w:val="none"/>
          <w:lang w:eastAsia="zh-CN"/>
        </w:rPr>
        <w:t>退让</w:t>
      </w:r>
      <w:r>
        <w:rPr>
          <w:rFonts w:hint="eastAsia" w:ascii="仿宋" w:hAnsi="仿宋" w:eastAsia="仿宋" w:cs="仿宋"/>
          <w:sz w:val="32"/>
          <w:szCs w:val="32"/>
          <w:highlight w:val="none"/>
          <w:u w:val="none"/>
        </w:rPr>
        <w:t>须满足人防、抗震、</w:t>
      </w:r>
      <w:r>
        <w:rPr>
          <w:rFonts w:hint="eastAsia" w:ascii="仿宋" w:hAnsi="仿宋" w:eastAsia="仿宋" w:cs="仿宋"/>
          <w:sz w:val="32"/>
          <w:szCs w:val="32"/>
          <w:highlight w:val="none"/>
          <w:u w:val="none"/>
          <w:lang w:eastAsia="zh-CN"/>
        </w:rPr>
        <w:t>公路</w:t>
      </w:r>
      <w:r>
        <w:rPr>
          <w:rFonts w:hint="eastAsia" w:ascii="仿宋" w:hAnsi="仿宋" w:eastAsia="仿宋" w:cs="仿宋"/>
          <w:sz w:val="32"/>
          <w:szCs w:val="32"/>
          <w:highlight w:val="none"/>
          <w:u w:val="none"/>
        </w:rPr>
        <w:t>、环保、电力、消防、水利等相关规范</w:t>
      </w:r>
      <w:r>
        <w:rPr>
          <w:rFonts w:hint="eastAsia" w:ascii="仿宋" w:hAnsi="仿宋" w:eastAsia="仿宋" w:cs="仿宋"/>
          <w:sz w:val="32"/>
          <w:szCs w:val="32"/>
          <w:highlight w:val="none"/>
          <w:u w:val="none"/>
          <w:lang w:eastAsia="zh-CN"/>
        </w:rPr>
        <w:t>；</w:t>
      </w:r>
      <w:r>
        <w:rPr>
          <w:rFonts w:hint="eastAsia" w:ascii="仿宋" w:hAnsi="仿宋" w:eastAsia="仿宋" w:cs="仿宋"/>
          <w:sz w:val="32"/>
          <w:szCs w:val="32"/>
          <w:highlight w:val="none"/>
          <w:u w:val="none"/>
        </w:rPr>
        <w:t>了解项目用地地下情况，确保建设项目避开断裂带及采空区</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u w:val="none"/>
        </w:rPr>
        <w:t>该地块现状为</w:t>
      </w:r>
      <w:r>
        <w:rPr>
          <w:rFonts w:hint="eastAsia" w:ascii="仿宋" w:hAnsi="仿宋" w:eastAsia="仿宋" w:cs="仿宋"/>
          <w:b w:val="0"/>
          <w:bCs w:val="0"/>
          <w:color w:val="auto"/>
          <w:kern w:val="2"/>
          <w:sz w:val="32"/>
          <w:szCs w:val="32"/>
          <w:highlight w:val="none"/>
          <w:u w:val="none"/>
          <w:lang w:val="en-US" w:eastAsia="zh-CN"/>
        </w:rPr>
        <w:t>海南产业园西来峰项目区</w:t>
      </w:r>
      <w:r>
        <w:rPr>
          <w:rFonts w:hint="eastAsia" w:ascii="仿宋" w:hAnsi="仿宋" w:eastAsia="仿宋" w:cs="仿宋"/>
          <w:kern w:val="0"/>
          <w:sz w:val="32"/>
          <w:szCs w:val="32"/>
          <w:highlight w:val="none"/>
          <w:u w:val="none"/>
          <w:lang w:val="en-US" w:eastAsia="zh-CN" w:bidi="ar-SA"/>
        </w:rPr>
        <w:t>地块，</w:t>
      </w:r>
      <w:r>
        <w:rPr>
          <w:rFonts w:hint="eastAsia" w:ascii="仿宋" w:hAnsi="仿宋" w:eastAsia="仿宋" w:cs="仿宋"/>
          <w:sz w:val="32"/>
          <w:szCs w:val="32"/>
          <w:highlight w:val="none"/>
          <w:u w:val="none"/>
        </w:rPr>
        <w:t>属于净地挂牌出让。该出让地块范围内如有树木、供电、市政设施等，受让人可结合规划设计方案保留，对不需要保留的，由受让人自行与有关部门解决，并承担所需费用。如需要考古或地下有构筑物、其他设施等，由受让人自行与有关部门协商解决，并承担所需费用</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（十</w:t>
      </w:r>
      <w:r>
        <w:rPr>
          <w:rFonts w:hint="eastAsia" w:ascii="仿宋" w:hAnsi="仿宋" w:eastAsia="仿宋" w:cs="仿宋"/>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其他要求：</w:t>
      </w:r>
      <w:r>
        <w:rPr>
          <w:rFonts w:hint="eastAsia" w:ascii="仿宋" w:hAnsi="仿宋" w:eastAsia="仿宋" w:cs="仿宋"/>
          <w:sz w:val="32"/>
          <w:szCs w:val="32"/>
          <w:highlight w:val="none"/>
          <w:u w:val="none"/>
        </w:rPr>
        <w:t>出让地块</w:t>
      </w:r>
      <w:r>
        <w:rPr>
          <w:rFonts w:hint="eastAsia" w:ascii="仿宋" w:hAnsi="仿宋" w:eastAsia="仿宋" w:cs="仿宋"/>
          <w:sz w:val="32"/>
          <w:szCs w:val="32"/>
          <w:highlight w:val="none"/>
          <w:u w:val="none"/>
          <w:lang w:eastAsia="zh-CN"/>
        </w:rPr>
        <w:t>的</w:t>
      </w:r>
      <w:r>
        <w:rPr>
          <w:rFonts w:hint="eastAsia" w:ascii="仿宋" w:hAnsi="仿宋" w:eastAsia="仿宋" w:cs="仿宋"/>
          <w:sz w:val="32"/>
          <w:szCs w:val="32"/>
          <w:highlight w:val="none"/>
          <w:u w:val="none"/>
        </w:rPr>
        <w:t>建设必须严格按照《内蒙古自治区建设用地规划条件书》条字第15030320</w:t>
      </w:r>
      <w:r>
        <w:rPr>
          <w:rFonts w:hint="eastAsia" w:ascii="仿宋" w:hAnsi="仿宋" w:eastAsia="仿宋" w:cs="仿宋"/>
          <w:sz w:val="32"/>
          <w:szCs w:val="32"/>
          <w:highlight w:val="none"/>
          <w:u w:val="none"/>
          <w:lang w:val="en-US" w:eastAsia="zh-CN"/>
        </w:rPr>
        <w:t>23</w:t>
      </w:r>
      <w:r>
        <w:rPr>
          <w:rFonts w:hint="eastAsia" w:ascii="仿宋" w:hAnsi="仿宋" w:eastAsia="仿宋" w:cs="仿宋"/>
          <w:color w:val="auto"/>
          <w:sz w:val="32"/>
          <w:szCs w:val="32"/>
          <w:highlight w:val="none"/>
          <w:u w:val="none"/>
          <w:lang w:eastAsia="zh-CN"/>
        </w:rPr>
        <w:t>000</w:t>
      </w:r>
      <w:r>
        <w:rPr>
          <w:rFonts w:hint="eastAsia" w:ascii="仿宋" w:hAnsi="仿宋" w:eastAsia="仿宋" w:cs="仿宋"/>
          <w:color w:val="auto"/>
          <w:sz w:val="32"/>
          <w:szCs w:val="32"/>
          <w:highlight w:val="none"/>
          <w:u w:val="none"/>
          <w:lang w:val="en-US" w:eastAsia="zh-CN"/>
        </w:rPr>
        <w:t>22</w:t>
      </w:r>
      <w:r>
        <w:rPr>
          <w:rFonts w:hint="eastAsia" w:ascii="仿宋" w:hAnsi="仿宋" w:eastAsia="仿宋" w:cs="仿宋"/>
          <w:sz w:val="32"/>
          <w:szCs w:val="32"/>
          <w:highlight w:val="none"/>
          <w:u w:val="none"/>
        </w:rPr>
        <w:t>号的有关要求进行</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bottom"/>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b/>
          <w:color w:val="000000" w:themeColor="text1"/>
          <w:sz w:val="32"/>
          <w:szCs w:val="32"/>
          <w:highlight w:val="none"/>
          <w14:textFill>
            <w14:solidFill>
              <w14:schemeClr w14:val="tx1"/>
            </w14:solidFill>
          </w14:textFill>
        </w:rPr>
        <w:t>号地块</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 w:hAnsi="仿宋" w:eastAsia="仿宋" w:cs="仿宋"/>
          <w:b w:val="0"/>
          <w:bCs w:val="0"/>
          <w:color w:val="auto"/>
          <w:kern w:val="2"/>
          <w:sz w:val="32"/>
          <w:szCs w:val="32"/>
          <w:highlight w:val="none"/>
          <w:lang w:val="en-US" w:eastAsia="zh-CN"/>
        </w:rPr>
        <w:t>乌海市吉祥检测物流园北、S217西</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 w:hAnsi="仿宋" w:eastAsia="仿宋" w:cs="仿宋"/>
          <w:color w:val="auto"/>
          <w:kern w:val="2"/>
          <w:sz w:val="32"/>
          <w:szCs w:val="32"/>
          <w:highlight w:val="none"/>
          <w:lang w:val="en-US" w:eastAsia="zh-CN" w:bidi="ar-SA"/>
        </w:rPr>
        <w:t>10211.81</w:t>
      </w:r>
      <w:r>
        <w:rPr>
          <w:rFonts w:hint="eastAsia" w:ascii="仿宋" w:hAnsi="仿宋" w:eastAsia="仿宋" w:cs="仿宋"/>
          <w:b w:val="0"/>
          <w:bCs w:val="0"/>
          <w:color w:val="auto"/>
          <w:kern w:val="2"/>
          <w:sz w:val="32"/>
          <w:szCs w:val="32"/>
          <w:highlight w:val="none"/>
          <w:lang w:val="en-US" w:eastAsia="zh-CN"/>
        </w:rPr>
        <w:t>平方米</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auto"/>
          <w:kern w:val="2"/>
          <w:sz w:val="32"/>
          <w:szCs w:val="32"/>
          <w:highlight w:val="none"/>
          <w:lang w:val="en-US" w:eastAsia="zh-CN" w:bidi="ar-SA"/>
        </w:rPr>
        <w:t>物流仓储用地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 w:hAnsi="仿宋" w:eastAsia="仿宋" w:cs="仿宋"/>
          <w:color w:val="auto"/>
          <w:kern w:val="2"/>
          <w:sz w:val="32"/>
          <w:szCs w:val="32"/>
          <w:highlight w:val="none"/>
          <w:lang w:val="en-US" w:eastAsia="zh-CN" w:bidi="ar-SA"/>
        </w:rPr>
        <w:t>40</w:t>
      </w:r>
      <w:r>
        <w:rPr>
          <w:rFonts w:hint="eastAsia" w:ascii="仿宋" w:hAnsi="仿宋" w:eastAsia="仿宋" w:cs="仿宋"/>
          <w:sz w:val="32"/>
          <w:szCs w:val="32"/>
          <w:highlight w:val="none"/>
          <w:lang w:val="en-US" w:eastAsia="zh-CN"/>
        </w:rPr>
        <w:t>年</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w:t>
      </w:r>
      <w:r>
        <w:rPr>
          <w:rFonts w:hint="eastAsia" w:ascii="仿宋" w:hAnsi="仿宋" w:eastAsia="仿宋" w:cs="仿宋"/>
          <w:sz w:val="32"/>
          <w:szCs w:val="32"/>
          <w:highlight w:val="none"/>
        </w:rPr>
        <w:t>出让合同约定的动工开发期限内动工，两年内建设完成</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color w:val="auto"/>
          <w:kern w:val="2"/>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（六）</w:t>
      </w:r>
      <w:r>
        <w:rPr>
          <w:rFonts w:hint="eastAsia" w:ascii="仿宋" w:hAnsi="仿宋" w:eastAsia="仿宋" w:cs="仿宋"/>
          <w:sz w:val="32"/>
          <w:szCs w:val="32"/>
          <w:highlight w:val="none"/>
        </w:rPr>
        <w:t>规划用地性质：</w:t>
      </w:r>
      <w:r>
        <w:rPr>
          <w:rFonts w:hint="eastAsia" w:ascii="仿宋" w:hAnsi="仿宋" w:eastAsia="仿宋" w:cs="仿宋"/>
          <w:color w:val="auto"/>
          <w:kern w:val="2"/>
          <w:sz w:val="32"/>
          <w:szCs w:val="32"/>
          <w:highlight w:val="none"/>
          <w:lang w:val="en-US" w:eastAsia="zh-CN" w:bidi="ar-SA"/>
        </w:rPr>
        <w:t>物流仓储用地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（七）</w:t>
      </w:r>
      <w:r>
        <w:rPr>
          <w:rFonts w:hint="eastAsia" w:ascii="仿宋" w:hAnsi="仿宋" w:eastAsia="仿宋" w:cs="仿宋"/>
          <w:sz w:val="32"/>
          <w:szCs w:val="32"/>
          <w:highlight w:val="none"/>
        </w:rPr>
        <w:t>容积率：</w:t>
      </w:r>
      <w:r>
        <w:rPr>
          <w:rFonts w:hint="eastAsia" w:ascii="仿宋" w:hAnsi="仿宋" w:eastAsia="仿宋" w:cs="仿宋"/>
          <w:sz w:val="32"/>
          <w:szCs w:val="32"/>
          <w:highlight w:val="none"/>
          <w:lang w:val="en-US" w:eastAsia="zh-CN"/>
        </w:rPr>
        <w:t>≥0.8</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（八）</w:t>
      </w:r>
      <w:r>
        <w:rPr>
          <w:rFonts w:hint="eastAsia" w:ascii="仿宋" w:hAnsi="仿宋" w:eastAsia="仿宋" w:cs="仿宋"/>
          <w:sz w:val="32"/>
          <w:szCs w:val="32"/>
          <w:highlight w:val="none"/>
        </w:rPr>
        <w:t>建筑</w:t>
      </w:r>
      <w:r>
        <w:rPr>
          <w:rFonts w:hint="eastAsia" w:ascii="仿宋" w:hAnsi="仿宋" w:eastAsia="仿宋" w:cs="仿宋"/>
          <w:sz w:val="32"/>
          <w:szCs w:val="32"/>
          <w:highlight w:val="none"/>
          <w:lang w:eastAsia="zh-CN"/>
        </w:rPr>
        <w:t>系数</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九</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绿地率：</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（十）建筑限高：≤24米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十一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建筑物退让：建</w:t>
      </w:r>
      <w:r>
        <w:rPr>
          <w:rFonts w:hint="eastAsia" w:ascii="仿宋" w:hAnsi="仿宋" w:eastAsia="仿宋" w:cs="仿宋"/>
          <w:sz w:val="32"/>
          <w:szCs w:val="32"/>
          <w:highlight w:val="none"/>
          <w:lang w:eastAsia="zh-CN"/>
        </w:rPr>
        <w:t>（构）</w:t>
      </w:r>
      <w:r>
        <w:rPr>
          <w:rFonts w:hint="eastAsia" w:ascii="仿宋" w:hAnsi="仿宋" w:eastAsia="仿宋" w:cs="仿宋"/>
          <w:sz w:val="32"/>
          <w:szCs w:val="32"/>
          <w:highlight w:val="none"/>
        </w:rPr>
        <w:t>筑</w:t>
      </w:r>
      <w:r>
        <w:rPr>
          <w:rFonts w:hint="eastAsia" w:ascii="仿宋" w:hAnsi="仿宋" w:eastAsia="仿宋" w:cs="仿宋"/>
          <w:sz w:val="32"/>
          <w:szCs w:val="32"/>
          <w:highlight w:val="none"/>
          <w:lang w:eastAsia="zh-CN"/>
        </w:rPr>
        <w:t>退让</w:t>
      </w:r>
      <w:r>
        <w:rPr>
          <w:rFonts w:hint="eastAsia" w:ascii="仿宋" w:hAnsi="仿宋" w:eastAsia="仿宋" w:cs="仿宋"/>
          <w:sz w:val="32"/>
          <w:szCs w:val="32"/>
          <w:highlight w:val="none"/>
        </w:rPr>
        <w:t>须满足人防、抗震、</w:t>
      </w:r>
      <w:r>
        <w:rPr>
          <w:rFonts w:hint="eastAsia" w:ascii="仿宋" w:hAnsi="仿宋" w:eastAsia="仿宋" w:cs="仿宋"/>
          <w:sz w:val="32"/>
          <w:szCs w:val="32"/>
          <w:highlight w:val="none"/>
          <w:lang w:eastAsia="zh-CN"/>
        </w:rPr>
        <w:t>公路</w:t>
      </w:r>
      <w:r>
        <w:rPr>
          <w:rFonts w:hint="eastAsia" w:ascii="仿宋" w:hAnsi="仿宋" w:eastAsia="仿宋" w:cs="仿宋"/>
          <w:sz w:val="32"/>
          <w:szCs w:val="32"/>
          <w:highlight w:val="none"/>
        </w:rPr>
        <w:t>、环保、电力、消防、水利等相关规范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了解项目用地地下情况，确保建设项目避开断裂带及采空区。</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（十二）</w:t>
      </w:r>
      <w:r>
        <w:rPr>
          <w:rFonts w:hint="eastAsia" w:ascii="仿宋" w:hAnsi="仿宋" w:eastAsia="仿宋" w:cs="仿宋"/>
          <w:sz w:val="32"/>
          <w:szCs w:val="32"/>
          <w:highlight w:val="none"/>
        </w:rPr>
        <w:t>该地块现状为</w:t>
      </w:r>
      <w:r>
        <w:rPr>
          <w:rFonts w:hint="eastAsia" w:ascii="仿宋" w:hAnsi="仿宋" w:eastAsia="仿宋" w:cs="仿宋"/>
          <w:b w:val="0"/>
          <w:bCs w:val="0"/>
          <w:color w:val="auto"/>
          <w:kern w:val="2"/>
          <w:sz w:val="32"/>
          <w:szCs w:val="32"/>
          <w:highlight w:val="none"/>
          <w:lang w:val="en-US" w:eastAsia="zh-CN"/>
        </w:rPr>
        <w:t>乌海市吉祥检测物流园北、S217西</w:t>
      </w:r>
      <w:r>
        <w:rPr>
          <w:rFonts w:hint="eastAsia" w:ascii="仿宋" w:hAnsi="仿宋" w:eastAsia="仿宋" w:cs="仿宋"/>
          <w:kern w:val="0"/>
          <w:sz w:val="32"/>
          <w:szCs w:val="32"/>
          <w:highlight w:val="none"/>
          <w:lang w:val="en-US" w:eastAsia="zh-CN" w:bidi="ar-SA"/>
        </w:rPr>
        <w:t>地块，</w:t>
      </w:r>
      <w:r>
        <w:rPr>
          <w:rFonts w:hint="eastAsia" w:ascii="仿宋" w:hAnsi="仿宋" w:eastAsia="仿宋" w:cs="仿宋"/>
          <w:sz w:val="32"/>
          <w:szCs w:val="32"/>
          <w:highlight w:val="none"/>
        </w:rPr>
        <w:t>属于净地挂牌出让。该出让地块范围内如有树木、供电、市政设施等，受让人可结合规划设计方案保留，对不需要保留的，由受让人自行与有关部门</w:t>
      </w:r>
      <w:r>
        <w:rPr>
          <w:rFonts w:hint="eastAsia" w:ascii="仿宋" w:hAnsi="仿宋" w:eastAsia="仿宋" w:cs="仿宋"/>
          <w:sz w:val="32"/>
          <w:szCs w:val="32"/>
          <w:highlight w:val="none"/>
          <w:lang w:val="en-US" w:eastAsia="zh-CN"/>
        </w:rPr>
        <w:t>进行</w:t>
      </w:r>
      <w:r>
        <w:rPr>
          <w:rFonts w:hint="eastAsia" w:ascii="仿宋" w:hAnsi="仿宋" w:eastAsia="仿宋" w:cs="仿宋"/>
          <w:sz w:val="32"/>
          <w:szCs w:val="32"/>
          <w:highlight w:val="none"/>
        </w:rPr>
        <w:t>解决，并承担所需费用。如需要考古或地下有构筑物、其他设施等，由受让人自行与有关部门协商解决，并承担所需费用。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（十三）</w:t>
      </w:r>
      <w:r>
        <w:rPr>
          <w:rFonts w:hint="eastAsia" w:ascii="仿宋" w:hAnsi="仿宋" w:eastAsia="仿宋" w:cs="仿宋"/>
          <w:color w:val="000000" w:themeColor="text1"/>
          <w:sz w:val="32"/>
          <w:szCs w:val="32"/>
          <w:highlight w:val="none"/>
          <w14:textFill>
            <w14:solidFill>
              <w14:schemeClr w14:val="tx1"/>
            </w14:solidFill>
          </w14:textFill>
        </w:rPr>
        <w:t>出让地块的空间范围须符合城市规划管理的有关要求；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（十四）</w:t>
      </w:r>
      <w:r>
        <w:rPr>
          <w:rFonts w:hint="eastAsia" w:ascii="仿宋" w:hAnsi="仿宋" w:eastAsia="仿宋" w:cs="仿宋"/>
          <w:sz w:val="32"/>
          <w:szCs w:val="32"/>
          <w:highlight w:val="none"/>
        </w:rPr>
        <w:t>其他要求：出让地块建设必须严格按照《内蒙古自治区建设用地规划条件书》条字第15030320</w:t>
      </w:r>
      <w:r>
        <w:rPr>
          <w:rFonts w:hint="eastAsia" w:ascii="仿宋" w:hAnsi="仿宋" w:eastAsia="仿宋" w:cs="仿宋"/>
          <w:sz w:val="32"/>
          <w:szCs w:val="32"/>
          <w:highlight w:val="none"/>
          <w:lang w:val="en-US" w:eastAsia="zh-CN"/>
        </w:rPr>
        <w:t>23</w:t>
      </w:r>
      <w:r>
        <w:rPr>
          <w:rFonts w:hint="eastAsia" w:ascii="仿宋" w:hAnsi="仿宋" w:eastAsia="仿宋" w:cs="仿宋"/>
          <w:color w:val="auto"/>
          <w:sz w:val="32"/>
          <w:szCs w:val="32"/>
          <w:highlight w:val="none"/>
          <w:lang w:eastAsia="zh-CN"/>
        </w:rPr>
        <w:t>0001</w:t>
      </w:r>
      <w:r>
        <w:rPr>
          <w:rFonts w:hint="eastAsia" w:ascii="仿宋" w:hAnsi="仿宋" w:eastAsia="仿宋" w:cs="仿宋"/>
          <w:color w:val="auto"/>
          <w:sz w:val="32"/>
          <w:szCs w:val="32"/>
          <w:highlight w:val="none"/>
          <w:lang w:val="en-US" w:eastAsia="zh-CN"/>
        </w:rPr>
        <w:t>9</w:t>
      </w:r>
      <w:r>
        <w:rPr>
          <w:rFonts w:hint="eastAsia" w:ascii="仿宋" w:hAnsi="仿宋" w:eastAsia="仿宋" w:cs="仿宋"/>
          <w:sz w:val="32"/>
          <w:szCs w:val="32"/>
          <w:highlight w:val="none"/>
        </w:rPr>
        <w:t>号的有关要求进行。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bottom"/>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四、竞买资格及要求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交纳竞买保证金的截止时间为</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日16：00时</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地块竞买保证金为：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地块一：</w:t>
      </w:r>
      <w:r>
        <w:rPr>
          <w:rFonts w:hint="eastAsia" w:ascii="仿宋" w:hAnsi="仿宋" w:eastAsia="仿宋" w:cs="仿宋"/>
          <w:b w:val="0"/>
          <w:bCs w:val="0"/>
          <w:spacing w:val="-11"/>
          <w:sz w:val="32"/>
          <w:szCs w:val="32"/>
          <w:highlight w:val="none"/>
          <w:lang w:val="en-US" w:eastAsia="zh-CN"/>
        </w:rPr>
        <w:t>534.6081万元（伍佰叁拾肆万陆仟零捌拾壹元整）</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rPr>
          <w:rFonts w:hint="eastAsia" w:ascii="仿宋" w:hAnsi="仿宋" w:eastAsia="仿宋" w:cs="仿宋"/>
          <w:sz w:val="32"/>
          <w:szCs w:val="32"/>
          <w:highlight w:val="none"/>
          <w:lang w:val="en-US" w:eastAsia="zh-CN"/>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地块二：</w:t>
      </w:r>
      <w:r>
        <w:rPr>
          <w:rFonts w:hint="eastAsia" w:ascii="仿宋" w:hAnsi="仿宋" w:eastAsia="仿宋" w:cs="仿宋"/>
          <w:color w:val="auto"/>
          <w:kern w:val="2"/>
          <w:sz w:val="32"/>
          <w:szCs w:val="32"/>
          <w:highlight w:val="none"/>
          <w:lang w:val="en-US" w:eastAsia="zh-CN" w:bidi="ar-SA"/>
        </w:rPr>
        <w:t>279.8036</w:t>
      </w:r>
      <w:r>
        <w:rPr>
          <w:rFonts w:hint="eastAsia" w:ascii="仿宋" w:hAnsi="仿宋" w:eastAsia="仿宋" w:cs="仿宋"/>
          <w:b w:val="0"/>
          <w:bCs w:val="0"/>
          <w:color w:val="auto"/>
          <w:kern w:val="2"/>
          <w:sz w:val="32"/>
          <w:szCs w:val="32"/>
          <w:highlight w:val="none"/>
          <w:lang w:val="en-US" w:eastAsia="zh-CN"/>
        </w:rPr>
        <w:t>万元</w:t>
      </w:r>
      <w:r>
        <w:rPr>
          <w:rFonts w:hint="eastAsia" w:ascii="仿宋" w:hAnsi="仿宋" w:eastAsia="仿宋" w:cs="仿宋"/>
          <w:b w:val="0"/>
          <w:bCs w:val="0"/>
          <w:color w:val="auto"/>
          <w:spacing w:val="0"/>
          <w:sz w:val="32"/>
          <w:szCs w:val="32"/>
          <w:highlight w:val="none"/>
          <w:lang w:val="en-US" w:eastAsia="zh-CN"/>
        </w:rPr>
        <w:t>（</w:t>
      </w:r>
      <w:r>
        <w:rPr>
          <w:rFonts w:hint="eastAsia" w:ascii="仿宋" w:hAnsi="仿宋" w:eastAsia="仿宋" w:cs="仿宋"/>
          <w:color w:val="auto"/>
          <w:kern w:val="2"/>
          <w:sz w:val="32"/>
          <w:szCs w:val="32"/>
          <w:highlight w:val="none"/>
          <w:lang w:val="en-US" w:eastAsia="zh-CN" w:bidi="ar-SA"/>
        </w:rPr>
        <w:t>贰佰柒拾玖万捌仟零叁拾陆元整</w:t>
      </w:r>
      <w:r>
        <w:rPr>
          <w:rFonts w:hint="eastAsia" w:ascii="仿宋" w:hAnsi="仿宋" w:eastAsia="仿宋" w:cs="仿宋"/>
          <w:b w:val="0"/>
          <w:bCs w:val="0"/>
          <w:color w:val="auto"/>
          <w:spacing w:val="0"/>
          <w:sz w:val="32"/>
          <w:szCs w:val="32"/>
          <w:highlight w:val="none"/>
          <w:lang w:val="en-US" w:eastAsia="zh-CN"/>
        </w:rPr>
        <w:t>）</w:t>
      </w:r>
      <w:r>
        <w:rPr>
          <w:rFonts w:hint="eastAsia" w:ascii="仿宋" w:hAnsi="仿宋" w:eastAsia="仿宋" w:cs="仿宋"/>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宗地的挂牌起始价：</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地块一：</w:t>
      </w:r>
      <w:r>
        <w:rPr>
          <w:rFonts w:hint="eastAsia" w:ascii="仿宋" w:hAnsi="仿宋" w:eastAsia="仿宋" w:cs="仿宋"/>
          <w:b w:val="0"/>
          <w:bCs w:val="0"/>
          <w:spacing w:val="-11"/>
          <w:sz w:val="32"/>
          <w:szCs w:val="32"/>
          <w:highlight w:val="none"/>
          <w:lang w:val="en-US" w:eastAsia="zh-CN"/>
        </w:rPr>
        <w:t>534.6081万元（伍佰叁拾肆万陆仟零捌拾壹元整）</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，增价幅度为每竞价一次增加人民币5万元（伍万元）；</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地块二：</w:t>
      </w:r>
      <w:r>
        <w:rPr>
          <w:rFonts w:hint="eastAsia" w:ascii="仿宋" w:hAnsi="仿宋" w:eastAsia="仿宋" w:cs="仿宋"/>
          <w:color w:val="auto"/>
          <w:kern w:val="2"/>
          <w:sz w:val="32"/>
          <w:szCs w:val="32"/>
          <w:highlight w:val="none"/>
          <w:lang w:val="en-US" w:eastAsia="zh-CN" w:bidi="ar-SA"/>
        </w:rPr>
        <w:t>279.8036</w:t>
      </w:r>
      <w:r>
        <w:rPr>
          <w:rFonts w:hint="eastAsia" w:ascii="仿宋" w:hAnsi="仿宋" w:eastAsia="仿宋" w:cs="仿宋"/>
          <w:b w:val="0"/>
          <w:bCs w:val="0"/>
          <w:color w:val="auto"/>
          <w:kern w:val="2"/>
          <w:sz w:val="32"/>
          <w:szCs w:val="32"/>
          <w:highlight w:val="none"/>
          <w:lang w:val="en-US" w:eastAsia="zh-CN"/>
        </w:rPr>
        <w:t>万元</w:t>
      </w:r>
      <w:r>
        <w:rPr>
          <w:rFonts w:hint="eastAsia" w:ascii="仿宋" w:hAnsi="仿宋" w:eastAsia="仿宋" w:cs="仿宋"/>
          <w:b w:val="0"/>
          <w:bCs w:val="0"/>
          <w:color w:val="auto"/>
          <w:spacing w:val="0"/>
          <w:sz w:val="32"/>
          <w:szCs w:val="32"/>
          <w:highlight w:val="none"/>
          <w:lang w:val="en-US" w:eastAsia="zh-CN"/>
        </w:rPr>
        <w:t>（</w:t>
      </w:r>
      <w:r>
        <w:rPr>
          <w:rFonts w:hint="eastAsia" w:ascii="仿宋" w:hAnsi="仿宋" w:eastAsia="仿宋" w:cs="仿宋"/>
          <w:color w:val="auto"/>
          <w:kern w:val="2"/>
          <w:sz w:val="32"/>
          <w:szCs w:val="32"/>
          <w:highlight w:val="none"/>
          <w:lang w:val="en-US" w:eastAsia="zh-CN" w:bidi="ar-SA"/>
        </w:rPr>
        <w:t>贰佰柒拾玖万捌仟零叁拾陆元整</w:t>
      </w:r>
      <w:r>
        <w:rPr>
          <w:rFonts w:hint="eastAsia" w:ascii="仿宋" w:hAnsi="仿宋" w:eastAsia="仿宋" w:cs="仿宋"/>
          <w:b w:val="0"/>
          <w:bCs w:val="0"/>
          <w:color w:val="auto"/>
          <w:spacing w:val="0"/>
          <w:sz w:val="32"/>
          <w:szCs w:val="32"/>
          <w:highlight w:val="none"/>
          <w:lang w:val="en-US" w:eastAsia="zh-CN"/>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，增价幅度为每竞价一次增加人民币5万元（伍万元）。</w:t>
      </w:r>
    </w:p>
    <w:p>
      <w:pPr>
        <w:keepNext w:val="0"/>
        <w:keepLines w:val="0"/>
        <w:pageBreakBefore w:val="0"/>
        <w:widowControl w:val="0"/>
        <w:tabs>
          <w:tab w:val="left" w:pos="366"/>
        </w:tabs>
        <w:kinsoku/>
        <w:wordWrap/>
        <w:overflowPunct/>
        <w:topLinePunct w:val="0"/>
        <w:autoSpaceDE/>
        <w:autoSpaceDN/>
        <w:bidi w:val="0"/>
        <w:adjustRightInd/>
        <w:snapToGrid/>
        <w:spacing w:line="560" w:lineRule="exact"/>
        <w:ind w:left="0" w:leftChars="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五、网上竞买申请流程</w:t>
      </w:r>
      <w:r>
        <w:rPr>
          <w:rFonts w:hint="eastAsia" w:ascii="仿宋" w:hAnsi="仿宋" w:eastAsia="仿宋" w:cs="仿宋"/>
          <w:color w:val="000000" w:themeColor="text1"/>
          <w:sz w:val="32"/>
          <w:szCs w:val="32"/>
          <w:highlight w:val="none"/>
          <w14:textFill>
            <w14:solidFill>
              <w14:schemeClr w14:val="tx1"/>
            </w14:solidFill>
          </w14:textFill>
        </w:rPr>
        <w:tab/>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highlight w:val="none"/>
          <w14:textFill>
            <w14:solidFill>
              <w14:schemeClr w14:val="tx1"/>
            </w14:solidFill>
          </w14:textFill>
        </w:rPr>
        <w:t>CA数字证书的获取及绑定</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1、获取方式</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2、CA数字证书驱动下载及系统绑定</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（1）在计算机上插入</w:t>
      </w:r>
      <w:r>
        <w:rPr>
          <w:rStyle w:val="18"/>
          <w:rFonts w:hint="eastAsia" w:ascii="仿宋" w:hAnsi="仿宋" w:eastAsia="仿宋" w:cs="仿宋"/>
          <w:b w:val="0"/>
          <w:color w:val="000000" w:themeColor="text1"/>
          <w:sz w:val="32"/>
          <w:szCs w:val="32"/>
          <w:highlight w:val="none"/>
          <w14:textFill>
            <w14:solidFill>
              <w14:schemeClr w14:val="tx1"/>
            </w14:solidFill>
          </w14:textFill>
        </w:rPr>
        <w:t>CA数字证书</w:t>
      </w:r>
      <w:r>
        <w:rPr>
          <w:rFonts w:hint="eastAsia" w:ascii="仿宋" w:hAnsi="仿宋" w:eastAsia="仿宋" w:cs="仿宋"/>
          <w:color w:val="000000" w:themeColor="text1"/>
          <w:sz w:val="32"/>
          <w:szCs w:val="32"/>
          <w:highlight w:val="none"/>
          <w14:textFill>
            <w14:solidFill>
              <w14:schemeClr w14:val="tx1"/>
            </w14:solidFill>
          </w14:textFill>
        </w:rPr>
        <w:t>，打开IE浏览器输入网址：http://110.16.70.81:8090/trade-engine/trade/index进入内蒙古自治区国土资源交易系统首页（IE浏览器版本不得低于IE10）；</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（2）点击“服务中心”，进入资料下载列表，在此可下载</w:t>
      </w:r>
      <w:r>
        <w:rPr>
          <w:rStyle w:val="18"/>
          <w:rFonts w:hint="eastAsia" w:ascii="仿宋" w:hAnsi="仿宋" w:eastAsia="仿宋" w:cs="仿宋"/>
          <w:b w:val="0"/>
          <w:color w:val="000000" w:themeColor="text1"/>
          <w:sz w:val="32"/>
          <w:szCs w:val="32"/>
          <w:highlight w:val="none"/>
          <w14:textFill>
            <w14:solidFill>
              <w14:schemeClr w14:val="tx1"/>
            </w14:solidFill>
          </w14:textFill>
        </w:rPr>
        <w:t>CA数字证书驱动</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（3）驱动安装完成后在“网上交易系统”左上方点击“请登录”按钮进入到系统登录页面，点击“互认平台认证登陆”，页面自动跳转至</w:t>
      </w:r>
      <w:r>
        <w:rPr>
          <w:rStyle w:val="18"/>
          <w:rFonts w:hint="eastAsia" w:ascii="仿宋" w:hAnsi="仿宋" w:eastAsia="仿宋" w:cs="仿宋"/>
          <w:b w:val="0"/>
          <w:color w:val="000000" w:themeColor="text1"/>
          <w:sz w:val="32"/>
          <w:szCs w:val="32"/>
          <w:highlight w:val="none"/>
          <w14:textFill>
            <w14:solidFill>
              <w14:schemeClr w14:val="tx1"/>
            </w14:solidFill>
          </w14:textFill>
        </w:rPr>
        <w:t>内蒙古自治区统一认证平台</w:t>
      </w:r>
      <w:r>
        <w:rPr>
          <w:rFonts w:hint="eastAsia" w:ascii="仿宋" w:hAnsi="仿宋" w:eastAsia="仿宋" w:cs="仿宋"/>
          <w:color w:val="000000" w:themeColor="text1"/>
          <w:sz w:val="32"/>
          <w:szCs w:val="32"/>
          <w:highlight w:val="none"/>
          <w14:textFill>
            <w14:solidFill>
              <w14:schemeClr w14:val="tx1"/>
            </w14:solidFill>
          </w14:textFill>
        </w:rPr>
        <w:t>，需先点击“互认平台认证登录”输入密码进行CA认证，最后点击“进入授权”按钮，登录成功。</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本次土地挂牌出让采用网上竞买申请的方式，竞买人在报名期内插入CA数字证书使用IE浏览器（IE浏览器版本不得低于IE10）登录内蒙古自治区国土资源交易系统（http://110.16.70.81:8090/trade-engine/trade/index）点击预申购的资源。</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（三）竞买申请书填写</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填写《竞买申请书》，填写完成后点击“下载签章文件”按钮，将签章文件保存至计算机。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1、在线签章</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将章放置指定位置点击鼠标左键，签章完成会自动覆盖下载的文件；之后点击“文件保存”按钮</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在弹出的窗口中选定签章后的文件</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保存成功后将页面拉至底部</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点击下一步。</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2、保证金缴纳</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bCs/>
          <w:color w:val="000000" w:themeColor="text1"/>
          <w:sz w:val="32"/>
          <w:szCs w:val="32"/>
          <w:highlight w:val="none"/>
          <w14:textFill>
            <w14:solidFill>
              <w14:schemeClr w14:val="tx1"/>
            </w14:solidFill>
          </w14:textFill>
        </w:rPr>
      </w:pPr>
      <w:r>
        <w:rPr>
          <w:rFonts w:hint="eastAsia" w:ascii="仿宋" w:hAnsi="仿宋" w:eastAsia="仿宋" w:cs="仿宋"/>
          <w:bCs/>
          <w:color w:val="000000" w:themeColor="text1"/>
          <w:sz w:val="32"/>
          <w:szCs w:val="32"/>
          <w:highlight w:val="none"/>
          <w14:textFill>
            <w14:solidFill>
              <w14:schemeClr w14:val="tx1"/>
            </w14:solidFill>
          </w14:textFill>
        </w:rPr>
        <w:t>注：如对系统操作存在疑问，可点击交易系统“服务中心”栏目下的“资料下载”功能下载用户操作手册。</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六、网上挂牌报价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FF0000"/>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s="仿宋"/>
          <w:color w:val="FF0000"/>
          <w:sz w:val="32"/>
          <w:szCs w:val="32"/>
          <w:highlight w:val="none"/>
          <w:shd w:val="clear" w:color="auto" w:fill="FFFFFF"/>
          <w:lang w:eastAsia="zh-CN"/>
        </w:rPr>
        <w:t>（</w:t>
      </w:r>
      <w:r>
        <w:rPr>
          <w:rFonts w:hint="eastAsia" w:ascii="仿宋" w:hAnsi="仿宋" w:eastAsia="仿宋" w:cs="仿宋"/>
          <w:color w:val="FF0000"/>
          <w:sz w:val="32"/>
          <w:szCs w:val="32"/>
          <w:highlight w:val="none"/>
          <w:shd w:val="clear" w:color="auto" w:fill="FFFFFF"/>
          <w:lang w:val="en-US" w:eastAsia="zh-CN"/>
        </w:rPr>
        <w:t>提示：竞买人报价后可以刷新页面确定报价是否成功，请不要连续点击报价按钮，避免重复报价）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挂牌期内竞买人可以多次出价，每次报价必须按增价幅度的倍数报价且高于当前最高有效报价。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特别提示：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竞买人须在资源挂牌期间进行一次网上有效报价，才有资格参加之后的限时竞价环节，否则视为自动放弃竞买权。</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七、限时竞价</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（一）询问期：资源挂牌期截止后，有两个以上的竞买人参与挂牌报价，系统自动进入</w:t>
      </w:r>
      <w:r>
        <w:rPr>
          <w:rStyle w:val="18"/>
          <w:rFonts w:hint="eastAsia" w:ascii="仿宋" w:hAnsi="仿宋" w:eastAsia="仿宋" w:cs="仿宋"/>
          <w:b w:val="0"/>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分钟询问期，询问期结束后，进入限时竞价环节；</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（二）限时竞价：进入限时竞价环节的竞买人需在系统设定的倒计时时间内进行报价，报价应是增价幅度的倍数，系统以</w:t>
      </w:r>
      <w:r>
        <w:rPr>
          <w:rStyle w:val="18"/>
          <w:rFonts w:hint="eastAsia" w:ascii="仿宋" w:hAnsi="仿宋" w:eastAsia="仿宋" w:cs="仿宋"/>
          <w:b w:val="0"/>
          <w:color w:val="000000" w:themeColor="text1"/>
          <w:sz w:val="32"/>
          <w:szCs w:val="32"/>
          <w:highlight w:val="none"/>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分钟倒计时为竞价时限，如在</w:t>
      </w:r>
      <w:r>
        <w:rPr>
          <w:rStyle w:val="18"/>
          <w:rFonts w:hint="eastAsia" w:ascii="仿宋" w:hAnsi="仿宋" w:eastAsia="仿宋" w:cs="仿宋"/>
          <w:b w:val="0"/>
          <w:color w:val="000000" w:themeColor="text1"/>
          <w:sz w:val="32"/>
          <w:szCs w:val="32"/>
          <w:highlight w:val="none"/>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分钟倒计时内有新的报价，系统即从接受新报价之时起重置竞价时限，竞买人可参加新一轮的报价。</w:t>
      </w:r>
      <w:r>
        <w:rPr>
          <w:rStyle w:val="18"/>
          <w:rFonts w:hint="eastAsia" w:ascii="仿宋" w:hAnsi="仿宋" w:eastAsia="仿宋" w:cs="仿宋"/>
          <w:b w:val="0"/>
          <w:color w:val="000000" w:themeColor="text1"/>
          <w:sz w:val="32"/>
          <w:szCs w:val="32"/>
          <w:highlight w:val="none"/>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分钟倒计时内无人报价，则在该地块</w:t>
      </w:r>
      <w:r>
        <w:rPr>
          <w:rStyle w:val="18"/>
          <w:rFonts w:hint="eastAsia" w:ascii="仿宋" w:hAnsi="仿宋" w:eastAsia="仿宋" w:cs="仿宋"/>
          <w:b w:val="0"/>
          <w:color w:val="000000" w:themeColor="text1"/>
          <w:sz w:val="32"/>
          <w:szCs w:val="32"/>
          <w:highlight w:val="none"/>
          <w14:textFill>
            <w14:solidFill>
              <w14:schemeClr w14:val="tx1"/>
            </w14:solidFill>
          </w14:textFill>
        </w:rPr>
        <w:t>4</w:t>
      </w:r>
      <w:r>
        <w:rPr>
          <w:rFonts w:hint="eastAsia" w:ascii="仿宋" w:hAnsi="仿宋" w:eastAsia="仿宋" w:cs="仿宋"/>
          <w:color w:val="000000" w:themeColor="text1"/>
          <w:sz w:val="32"/>
          <w:szCs w:val="32"/>
          <w:highlight w:val="none"/>
          <w14:textFill>
            <w14:solidFill>
              <w14:schemeClr w14:val="tx1"/>
            </w14:solidFill>
          </w14:textFill>
        </w:rPr>
        <w:t>分钟倒计时结束时自动关闭竞价通道，系统确定当前最高有效报价，限时竞价结束。</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（四）预竞得人登录“网上交易系统”在“个人中心-&gt;我的文档”中打印《国有土地使用权预成交确认书》。</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八、资质审查</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3" w:firstLineChars="200"/>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预竞得人在系统签发《国有土地使用权预成交确认书》的2个工作日内，将企业营业执照</w:t>
      </w:r>
      <w:r>
        <w:rPr>
          <w:rFonts w:hint="eastAsia" w:ascii="仿宋" w:hAnsi="仿宋" w:eastAsia="仿宋" w:cs="仿宋"/>
          <w:b/>
          <w:bCs/>
          <w:color w:val="FF0000"/>
          <w:sz w:val="32"/>
          <w:szCs w:val="32"/>
          <w:highlight w:val="none"/>
        </w:rPr>
        <w:t>原件扫描件</w:t>
      </w:r>
      <w:r>
        <w:rPr>
          <w:rFonts w:hint="eastAsia" w:ascii="仿宋" w:hAnsi="仿宋" w:eastAsia="仿宋" w:cs="仿宋"/>
          <w:b/>
          <w:bCs/>
          <w:color w:val="000000" w:themeColor="text1"/>
          <w:sz w:val="32"/>
          <w:szCs w:val="32"/>
          <w:highlight w:val="none"/>
          <w14:textFill>
            <w14:solidFill>
              <w14:schemeClr w14:val="tx1"/>
            </w14:solidFill>
          </w14:textFill>
        </w:rPr>
        <w:t>、法定代表人身份证</w:t>
      </w:r>
      <w:r>
        <w:rPr>
          <w:rFonts w:hint="eastAsia" w:ascii="仿宋" w:hAnsi="仿宋" w:eastAsia="仿宋" w:cs="仿宋"/>
          <w:b/>
          <w:bCs/>
          <w:color w:val="FF0000"/>
          <w:sz w:val="32"/>
          <w:szCs w:val="32"/>
          <w:highlight w:val="none"/>
        </w:rPr>
        <w:t>原件扫描件</w:t>
      </w:r>
      <w:r>
        <w:rPr>
          <w:rFonts w:hint="eastAsia" w:ascii="仿宋" w:hAnsi="仿宋" w:eastAsia="仿宋" w:cs="仿宋"/>
          <w:b/>
          <w:bCs/>
          <w:color w:val="000000" w:themeColor="text1"/>
          <w:sz w:val="32"/>
          <w:szCs w:val="32"/>
          <w:highlight w:val="none"/>
          <w14:textFill>
            <w14:solidFill>
              <w14:schemeClr w14:val="tx1"/>
            </w14:solidFill>
          </w14:textFill>
        </w:rPr>
        <w:t>、如委托他人办理的须上传委托书及受托人身份证</w:t>
      </w:r>
      <w:r>
        <w:rPr>
          <w:rFonts w:hint="eastAsia" w:ascii="仿宋" w:hAnsi="仿宋" w:eastAsia="仿宋" w:cs="仿宋"/>
          <w:b/>
          <w:bCs/>
          <w:color w:val="FF0000"/>
          <w:sz w:val="32"/>
          <w:szCs w:val="32"/>
          <w:highlight w:val="none"/>
        </w:rPr>
        <w:t>原件扫描件</w:t>
      </w:r>
      <w:r>
        <w:rPr>
          <w:rFonts w:hint="eastAsia" w:ascii="仿宋" w:hAnsi="仿宋" w:eastAsia="仿宋" w:cs="仿宋"/>
          <w:b/>
          <w:bCs/>
          <w:color w:val="000000" w:themeColor="text1"/>
          <w:sz w:val="32"/>
          <w:szCs w:val="32"/>
          <w:highlight w:val="none"/>
          <w14:textFill>
            <w14:solidFill>
              <w14:schemeClr w14:val="tx1"/>
            </w14:solidFill>
          </w14:textFill>
        </w:rPr>
        <w:t>、《国有土地使用权预成交确认书》</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保证金缴纳回执单</w:t>
      </w:r>
      <w:r>
        <w:rPr>
          <w:rFonts w:hint="eastAsia" w:ascii="仿宋" w:hAnsi="仿宋" w:eastAsia="仿宋" w:cs="仿宋"/>
          <w:b/>
          <w:bCs/>
          <w:color w:val="000000" w:themeColor="text1"/>
          <w:sz w:val="32"/>
          <w:szCs w:val="32"/>
          <w:highlight w:val="none"/>
          <w14:textFill>
            <w14:solidFill>
              <w14:schemeClr w14:val="tx1"/>
            </w14:solidFill>
          </w14:textFill>
        </w:rPr>
        <w:t>上传至交易系统。</w:t>
      </w:r>
      <w:r>
        <w:rPr>
          <w:rFonts w:hint="eastAsia" w:ascii="仿宋" w:hAnsi="仿宋" w:eastAsia="仿宋" w:cs="仿宋"/>
          <w:b/>
          <w:bCs/>
          <w:color w:val="FF0000"/>
          <w:sz w:val="32"/>
          <w:szCs w:val="32"/>
          <w:highlight w:val="none"/>
        </w:rPr>
        <w:t>房地产开发和商业用地，预竞得人须上传保证金不属于银行贷款、股东借款、转贷和募集资金的承诺书及商业金融机构的资信证明</w:t>
      </w:r>
      <w:r>
        <w:rPr>
          <w:rFonts w:hint="eastAsia" w:ascii="仿宋" w:hAnsi="仿宋" w:eastAsia="仿宋" w:cs="仿宋"/>
          <w:b/>
          <w:bCs/>
          <w:color w:val="000000" w:themeColor="text1"/>
          <w:sz w:val="32"/>
          <w:szCs w:val="32"/>
          <w:highlight w:val="none"/>
          <w14:textFill>
            <w14:solidFill>
              <w14:schemeClr w14:val="tx1"/>
            </w14:solidFill>
          </w14:textFill>
        </w:rPr>
        <w:t>。交易中心在线对其进行资格确认。通过资格确认的，交易中心签发《成交确认书》，未通过资格确认的取消其竞得资格。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九、成交确认</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十、结果公示</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成交确认书签订后，出让人与交易机构10个工作日内在相关网站发布成交结果公示，公示期不少于5天。</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十一、保证金的处置</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交易公示结束后，未竞得人的保证金5个工作日原路退还至基本账户（不计利息），竞得人的保证金可转做国有土地使用权出让金。</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竞买人未按照公告及挂牌出让文件全部要求执行的，所造成的一切损失和法律后果由竞买人自行承担。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十三、</w:t>
      </w:r>
      <w:r>
        <w:rPr>
          <w:rFonts w:hint="eastAsia" w:ascii="仿宋" w:hAnsi="仿宋" w:eastAsia="仿宋" w:cs="仿宋"/>
          <w:color w:val="000000" w:themeColor="text1"/>
          <w:sz w:val="32"/>
          <w:szCs w:val="32"/>
          <w:highlight w:val="none"/>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十五、</w:t>
      </w:r>
      <w:r>
        <w:rPr>
          <w:rFonts w:hint="eastAsia" w:ascii="仿宋" w:hAnsi="仿宋" w:eastAsia="仿宋" w:cs="仿宋"/>
          <w:color w:val="000000" w:themeColor="text1"/>
          <w:sz w:val="32"/>
          <w:szCs w:val="32"/>
          <w:highlight w:val="none"/>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十六、</w:t>
      </w:r>
      <w:r>
        <w:rPr>
          <w:rFonts w:hint="eastAsia" w:ascii="仿宋" w:hAnsi="仿宋" w:eastAsia="仿宋" w:cs="仿宋"/>
          <w:color w:val="000000" w:themeColor="text1"/>
          <w:sz w:val="32"/>
          <w:szCs w:val="32"/>
          <w:highlight w:val="none"/>
          <w14:textFill>
            <w14:solidFill>
              <w14:schemeClr w14:val="tx1"/>
            </w14:solidFill>
          </w14:textFill>
        </w:rPr>
        <w:t>有下列情形之一的，国有土地使用权交易行为应中止</w:t>
      </w:r>
      <w:r>
        <w:rPr>
          <w:rStyle w:val="18"/>
          <w:rFonts w:hint="eastAsia" w:ascii="仿宋" w:hAnsi="仿宋" w:eastAsia="仿宋" w:cs="仿宋"/>
          <w:b w:val="0"/>
          <w:color w:val="000000" w:themeColor="text1"/>
          <w:sz w:val="32"/>
          <w:szCs w:val="32"/>
          <w:highlight w:val="none"/>
          <w14:textFill>
            <w14:solidFill>
              <w14:schemeClr w14:val="tx1"/>
            </w14:solidFill>
          </w14:textFill>
        </w:rPr>
        <w:t>：</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（一）网上交易系统受到网络恶意入侵的；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（二）因网上交易系统遭受破坏或发生电力、网络故障等不可抗力的非交易中心因素，导致网上交易系统不能正常运行的；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（三）因不可抗力应当中止国有土地使用权交易的其他情形。</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国有土地使用权交易行为中止的原因消除后，应当及时恢复国有土地使用权交易。</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十七、</w:t>
      </w:r>
      <w:r>
        <w:rPr>
          <w:rFonts w:hint="eastAsia" w:ascii="仿宋" w:hAnsi="仿宋" w:eastAsia="仿宋" w:cs="仿宋"/>
          <w:color w:val="000000" w:themeColor="text1"/>
          <w:sz w:val="32"/>
          <w:szCs w:val="32"/>
          <w:highlight w:val="none"/>
          <w14:textFill>
            <w14:solidFill>
              <w14:schemeClr w14:val="tx1"/>
            </w14:solidFill>
          </w14:textFill>
        </w:rPr>
        <w:t>出现以下情形之一的即视为竞得人违约，出让人有权解除《成交确认书》，并取消竞得人的资格。</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（一）竞得人提供的资质条件证明文件虚假的；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（二）竞得人隐瞒事实，恶意串通或采取其他非法手段竞得的；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（三）竞得人拒绝签订《成交确认书》；</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（四）公示期间有举报且经调查核实属违法违规行为的。</w:t>
      </w:r>
    </w:p>
    <w:p>
      <w:pPr>
        <w:keepNext w:val="0"/>
        <w:keepLines w:val="0"/>
        <w:pageBreakBefore w:val="0"/>
        <w:tabs>
          <w:tab w:val="left" w:pos="4380"/>
        </w:tabs>
        <w:kinsoku/>
        <w:wordWrap/>
        <w:overflowPunct/>
        <w:topLinePunct w:val="0"/>
        <w:autoSpaceDE/>
        <w:autoSpaceDN/>
        <w:bidi w:val="0"/>
        <w:adjustRightInd/>
        <w:snapToGrid/>
        <w:spacing w:line="560" w:lineRule="exact"/>
        <w:ind w:left="0" w:firstLine="640" w:firstLineChars="200"/>
        <w:rPr>
          <w:rStyle w:val="18"/>
          <w:rFonts w:hint="eastAsia" w:ascii="仿宋" w:hAnsi="仿宋" w:eastAsia="仿宋" w:cs="仿宋"/>
          <w:b w:val="0"/>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十八、</w:t>
      </w:r>
      <w:r>
        <w:rPr>
          <w:rFonts w:hint="eastAsia" w:ascii="仿宋" w:hAnsi="仿宋" w:eastAsia="仿宋" w:cs="仿宋"/>
          <w:color w:val="000000" w:themeColor="text1"/>
          <w:sz w:val="32"/>
          <w:szCs w:val="32"/>
          <w:highlight w:val="none"/>
          <w14:textFill>
            <w14:solidFill>
              <w14:schemeClr w14:val="tx1"/>
            </w14:solidFill>
          </w14:textFill>
        </w:rPr>
        <w:t>出让人对本《国有土地使用权挂牌出让须知》有最终解释权。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rPr>
          <w:rStyle w:val="18"/>
          <w:rFonts w:hint="eastAsia" w:ascii="仿宋" w:hAnsi="仿宋" w:eastAsia="仿宋" w:cs="仿宋"/>
          <w:b w:val="0"/>
          <w:color w:val="000000" w:themeColor="text1"/>
          <w:sz w:val="32"/>
          <w:szCs w:val="32"/>
          <w:highlight w:val="none"/>
          <w14:textFill>
            <w14:solidFill>
              <w14:schemeClr w14:val="tx1"/>
            </w14:solidFill>
          </w14:textFill>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rPr>
          <w:rStyle w:val="18"/>
          <w:rFonts w:hint="eastAsia" w:ascii="仿宋" w:hAnsi="仿宋" w:eastAsia="仿宋" w:cs="仿宋"/>
          <w:b w:val="0"/>
          <w:color w:val="000000" w:themeColor="text1"/>
          <w:sz w:val="32"/>
          <w:szCs w:val="32"/>
          <w:highlight w:val="none"/>
          <w14:textFill>
            <w14:solidFill>
              <w14:schemeClr w14:val="tx1"/>
            </w14:solidFill>
          </w14:textFill>
        </w:rPr>
      </w:pP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right"/>
        <w:rPr>
          <w:rFonts w:hint="eastAsia" w:ascii="仿宋" w:hAnsi="仿宋" w:eastAsia="仿宋" w:cs="仿宋"/>
          <w:color w:val="000000" w:themeColor="text1"/>
          <w:sz w:val="32"/>
          <w:szCs w:val="32"/>
          <w:highlight w:val="none"/>
          <w14:textFill>
            <w14:solidFill>
              <w14:schemeClr w14:val="tx1"/>
            </w14:solidFill>
          </w14:textFill>
        </w:rPr>
      </w:pPr>
      <w:r>
        <w:rPr>
          <w:rStyle w:val="18"/>
          <w:rFonts w:hint="eastAsia" w:ascii="仿宋" w:hAnsi="仿宋" w:eastAsia="仿宋" w:cs="仿宋"/>
          <w:b w:val="0"/>
          <w:color w:val="000000" w:themeColor="text1"/>
          <w:sz w:val="32"/>
          <w:szCs w:val="32"/>
          <w:highlight w:val="none"/>
          <w14:textFill>
            <w14:solidFill>
              <w14:schemeClr w14:val="tx1"/>
            </w14:solidFill>
          </w14:textFill>
        </w:rPr>
        <w:t>乌海市公共资源交易中心</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月</w:t>
      </w:r>
      <w:r>
        <w:rPr>
          <w:rFonts w:hint="eastAsia" w:ascii="仿宋" w:hAnsi="仿宋" w:eastAsia="仿宋" w:cs="仿宋"/>
          <w:bCs/>
          <w:color w:val="auto"/>
          <w:sz w:val="32"/>
          <w:szCs w:val="32"/>
          <w:highlight w:val="none"/>
          <w:lang w:val="en-US" w:eastAsia="zh-CN"/>
        </w:rPr>
        <w:t>24</w:t>
      </w:r>
      <w:r>
        <w:rPr>
          <w:rFonts w:hint="eastAsia" w:ascii="仿宋" w:hAnsi="仿宋" w:eastAsia="仿宋" w:cs="仿宋"/>
          <w:color w:val="auto"/>
          <w:sz w:val="32"/>
          <w:szCs w:val="32"/>
          <w:highlight w:val="none"/>
        </w:rPr>
        <w:t>日</w:t>
      </w:r>
    </w:p>
    <w:p>
      <w:pPr>
        <w:pStyle w:val="1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rPr>
          <w:rFonts w:ascii="仿宋" w:hAnsi="仿宋" w:eastAsia="仿宋"/>
          <w:color w:val="000000" w:themeColor="text1"/>
          <w:sz w:val="32"/>
          <w:szCs w:val="32"/>
          <w:highlight w:val="none"/>
          <w14:textFill>
            <w14:solidFill>
              <w14:schemeClr w14:val="tx1"/>
            </w14:solidFill>
          </w14:textFill>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1271FE"/>
    <w:rsid w:val="02423583"/>
    <w:rsid w:val="024600CB"/>
    <w:rsid w:val="028B18FB"/>
    <w:rsid w:val="0292235D"/>
    <w:rsid w:val="029A7C8F"/>
    <w:rsid w:val="02DE5ECF"/>
    <w:rsid w:val="02E903CF"/>
    <w:rsid w:val="03012EB6"/>
    <w:rsid w:val="030C2C1F"/>
    <w:rsid w:val="03E05C76"/>
    <w:rsid w:val="040F0053"/>
    <w:rsid w:val="041059C0"/>
    <w:rsid w:val="04115814"/>
    <w:rsid w:val="044E1C2B"/>
    <w:rsid w:val="04640655"/>
    <w:rsid w:val="048A0CB8"/>
    <w:rsid w:val="05551D6C"/>
    <w:rsid w:val="05931291"/>
    <w:rsid w:val="06657FD2"/>
    <w:rsid w:val="06734B80"/>
    <w:rsid w:val="06777248"/>
    <w:rsid w:val="06B63265"/>
    <w:rsid w:val="06CD540B"/>
    <w:rsid w:val="07115CFE"/>
    <w:rsid w:val="07141709"/>
    <w:rsid w:val="07492231"/>
    <w:rsid w:val="074C630C"/>
    <w:rsid w:val="07607F50"/>
    <w:rsid w:val="07911761"/>
    <w:rsid w:val="07D811A0"/>
    <w:rsid w:val="08E91C8E"/>
    <w:rsid w:val="091C14FF"/>
    <w:rsid w:val="09554F7F"/>
    <w:rsid w:val="09920FEC"/>
    <w:rsid w:val="09AC5238"/>
    <w:rsid w:val="09B91E73"/>
    <w:rsid w:val="09CB177D"/>
    <w:rsid w:val="0AE56F11"/>
    <w:rsid w:val="0B453DBF"/>
    <w:rsid w:val="0B6C7DF0"/>
    <w:rsid w:val="0C3A6B50"/>
    <w:rsid w:val="0CBC55DD"/>
    <w:rsid w:val="0D621DA0"/>
    <w:rsid w:val="0DE657C7"/>
    <w:rsid w:val="0E175E4F"/>
    <w:rsid w:val="0E430E78"/>
    <w:rsid w:val="0E74336A"/>
    <w:rsid w:val="0F3D3A4A"/>
    <w:rsid w:val="0F61151D"/>
    <w:rsid w:val="0F915630"/>
    <w:rsid w:val="0FBC682D"/>
    <w:rsid w:val="0FDA5E7C"/>
    <w:rsid w:val="0FE62886"/>
    <w:rsid w:val="100B4889"/>
    <w:rsid w:val="106422A2"/>
    <w:rsid w:val="11020FDA"/>
    <w:rsid w:val="121E6E1F"/>
    <w:rsid w:val="12406F45"/>
    <w:rsid w:val="124A5E7C"/>
    <w:rsid w:val="124F64A1"/>
    <w:rsid w:val="128D0926"/>
    <w:rsid w:val="12FD669C"/>
    <w:rsid w:val="13153D01"/>
    <w:rsid w:val="13620456"/>
    <w:rsid w:val="141C6857"/>
    <w:rsid w:val="145664B1"/>
    <w:rsid w:val="14956609"/>
    <w:rsid w:val="14B1541F"/>
    <w:rsid w:val="14CB202B"/>
    <w:rsid w:val="15681628"/>
    <w:rsid w:val="16133C89"/>
    <w:rsid w:val="1615355E"/>
    <w:rsid w:val="16673E9F"/>
    <w:rsid w:val="16B913B5"/>
    <w:rsid w:val="16E86EC4"/>
    <w:rsid w:val="175E4A65"/>
    <w:rsid w:val="18000D5A"/>
    <w:rsid w:val="182A0D45"/>
    <w:rsid w:val="18CB2A86"/>
    <w:rsid w:val="18CF5571"/>
    <w:rsid w:val="18EC3795"/>
    <w:rsid w:val="191250E6"/>
    <w:rsid w:val="1945669A"/>
    <w:rsid w:val="196D7CBC"/>
    <w:rsid w:val="1A0C2EC9"/>
    <w:rsid w:val="1A676352"/>
    <w:rsid w:val="1A713C1F"/>
    <w:rsid w:val="1AC506ED"/>
    <w:rsid w:val="1B3A0A95"/>
    <w:rsid w:val="1B3A2F9D"/>
    <w:rsid w:val="1B3A3A66"/>
    <w:rsid w:val="1B697196"/>
    <w:rsid w:val="1B903686"/>
    <w:rsid w:val="1BAF0938"/>
    <w:rsid w:val="1C067028"/>
    <w:rsid w:val="1C3D1E77"/>
    <w:rsid w:val="1C661E6D"/>
    <w:rsid w:val="1CA93820"/>
    <w:rsid w:val="1D3B0967"/>
    <w:rsid w:val="1D855FD0"/>
    <w:rsid w:val="1D935945"/>
    <w:rsid w:val="1DBD4B98"/>
    <w:rsid w:val="1DCF493A"/>
    <w:rsid w:val="1DEB1048"/>
    <w:rsid w:val="1DF22B3C"/>
    <w:rsid w:val="1E420CBE"/>
    <w:rsid w:val="1EF06916"/>
    <w:rsid w:val="1F625C18"/>
    <w:rsid w:val="1F767E64"/>
    <w:rsid w:val="1F7F7E6A"/>
    <w:rsid w:val="1FB71B33"/>
    <w:rsid w:val="1FF82CAC"/>
    <w:rsid w:val="202647F7"/>
    <w:rsid w:val="20332ACA"/>
    <w:rsid w:val="206A5224"/>
    <w:rsid w:val="20CC581C"/>
    <w:rsid w:val="20CF1F6B"/>
    <w:rsid w:val="20F31418"/>
    <w:rsid w:val="210C37AF"/>
    <w:rsid w:val="212E273D"/>
    <w:rsid w:val="21527B83"/>
    <w:rsid w:val="215A09BE"/>
    <w:rsid w:val="21A36E0F"/>
    <w:rsid w:val="21D32688"/>
    <w:rsid w:val="21FF2074"/>
    <w:rsid w:val="220973D9"/>
    <w:rsid w:val="22307EFA"/>
    <w:rsid w:val="227B707F"/>
    <w:rsid w:val="22CB5E23"/>
    <w:rsid w:val="22E42C35"/>
    <w:rsid w:val="23473DE4"/>
    <w:rsid w:val="235777E5"/>
    <w:rsid w:val="235F294A"/>
    <w:rsid w:val="23653452"/>
    <w:rsid w:val="23D55D20"/>
    <w:rsid w:val="23FB76B9"/>
    <w:rsid w:val="23FE3883"/>
    <w:rsid w:val="243634F3"/>
    <w:rsid w:val="246F478D"/>
    <w:rsid w:val="24AD1BC4"/>
    <w:rsid w:val="250A344E"/>
    <w:rsid w:val="25590B49"/>
    <w:rsid w:val="258E50DA"/>
    <w:rsid w:val="259C1DC8"/>
    <w:rsid w:val="25DE3CBB"/>
    <w:rsid w:val="25E511E1"/>
    <w:rsid w:val="26676473"/>
    <w:rsid w:val="266E4003"/>
    <w:rsid w:val="267A11BB"/>
    <w:rsid w:val="268812DB"/>
    <w:rsid w:val="269654E3"/>
    <w:rsid w:val="270B7AC8"/>
    <w:rsid w:val="270B7E24"/>
    <w:rsid w:val="27703550"/>
    <w:rsid w:val="28074CD0"/>
    <w:rsid w:val="28A73B95"/>
    <w:rsid w:val="28E371ED"/>
    <w:rsid w:val="290F05C4"/>
    <w:rsid w:val="294D73CE"/>
    <w:rsid w:val="29732316"/>
    <w:rsid w:val="2984009C"/>
    <w:rsid w:val="29862108"/>
    <w:rsid w:val="298F6472"/>
    <w:rsid w:val="29CC7AAB"/>
    <w:rsid w:val="29FC015B"/>
    <w:rsid w:val="2A7517C0"/>
    <w:rsid w:val="2A795E57"/>
    <w:rsid w:val="2AE80AD7"/>
    <w:rsid w:val="2AF272BD"/>
    <w:rsid w:val="2C2B5F66"/>
    <w:rsid w:val="2C6C2039"/>
    <w:rsid w:val="2C93023E"/>
    <w:rsid w:val="2CB165B6"/>
    <w:rsid w:val="2D0A159E"/>
    <w:rsid w:val="2D7D772A"/>
    <w:rsid w:val="2DAA7F1C"/>
    <w:rsid w:val="2DE15604"/>
    <w:rsid w:val="2DF71C47"/>
    <w:rsid w:val="2E043D71"/>
    <w:rsid w:val="2E1A2CBD"/>
    <w:rsid w:val="2E8E6166"/>
    <w:rsid w:val="2EA9088F"/>
    <w:rsid w:val="2F422332"/>
    <w:rsid w:val="2F566C69"/>
    <w:rsid w:val="2F5D3CC9"/>
    <w:rsid w:val="2F9B467C"/>
    <w:rsid w:val="30352C82"/>
    <w:rsid w:val="304E5B92"/>
    <w:rsid w:val="305247DB"/>
    <w:rsid w:val="30684B60"/>
    <w:rsid w:val="308415B4"/>
    <w:rsid w:val="309C34AC"/>
    <w:rsid w:val="309F60E3"/>
    <w:rsid w:val="30B04521"/>
    <w:rsid w:val="31485B61"/>
    <w:rsid w:val="315076E8"/>
    <w:rsid w:val="315D2EA1"/>
    <w:rsid w:val="318B3424"/>
    <w:rsid w:val="31A81E37"/>
    <w:rsid w:val="31D2190C"/>
    <w:rsid w:val="325244A3"/>
    <w:rsid w:val="32655415"/>
    <w:rsid w:val="32B70DC5"/>
    <w:rsid w:val="32C32288"/>
    <w:rsid w:val="32D70A47"/>
    <w:rsid w:val="33016F86"/>
    <w:rsid w:val="331820F6"/>
    <w:rsid w:val="33653D7A"/>
    <w:rsid w:val="33725B8E"/>
    <w:rsid w:val="339B37E8"/>
    <w:rsid w:val="33A27236"/>
    <w:rsid w:val="33B31F37"/>
    <w:rsid w:val="33C06508"/>
    <w:rsid w:val="340A662D"/>
    <w:rsid w:val="34360E17"/>
    <w:rsid w:val="34903798"/>
    <w:rsid w:val="34C2697F"/>
    <w:rsid w:val="351E740A"/>
    <w:rsid w:val="35207CA0"/>
    <w:rsid w:val="35296DE4"/>
    <w:rsid w:val="355C181D"/>
    <w:rsid w:val="356F70AA"/>
    <w:rsid w:val="35A053D3"/>
    <w:rsid w:val="35AC25ED"/>
    <w:rsid w:val="35D11B70"/>
    <w:rsid w:val="362E3CD5"/>
    <w:rsid w:val="36354047"/>
    <w:rsid w:val="36F11B9A"/>
    <w:rsid w:val="3723478C"/>
    <w:rsid w:val="37FF3CDB"/>
    <w:rsid w:val="38B4392F"/>
    <w:rsid w:val="38D07641"/>
    <w:rsid w:val="38DC04BF"/>
    <w:rsid w:val="39580A05"/>
    <w:rsid w:val="397F0B6A"/>
    <w:rsid w:val="39BA0B35"/>
    <w:rsid w:val="39D013C6"/>
    <w:rsid w:val="39DA5134"/>
    <w:rsid w:val="3A2F7D52"/>
    <w:rsid w:val="3A7868EF"/>
    <w:rsid w:val="3A846FCB"/>
    <w:rsid w:val="3A8B3E85"/>
    <w:rsid w:val="3B092B44"/>
    <w:rsid w:val="3B405113"/>
    <w:rsid w:val="3CB55BF6"/>
    <w:rsid w:val="3D387D66"/>
    <w:rsid w:val="3E1034A1"/>
    <w:rsid w:val="3E1B36E3"/>
    <w:rsid w:val="3E447CFD"/>
    <w:rsid w:val="3EE735A7"/>
    <w:rsid w:val="3FB461A6"/>
    <w:rsid w:val="403703F1"/>
    <w:rsid w:val="40DC6D8D"/>
    <w:rsid w:val="40E52187"/>
    <w:rsid w:val="41087697"/>
    <w:rsid w:val="412A20B8"/>
    <w:rsid w:val="413A1EEE"/>
    <w:rsid w:val="4145758F"/>
    <w:rsid w:val="415B6EF8"/>
    <w:rsid w:val="418E6E19"/>
    <w:rsid w:val="42004812"/>
    <w:rsid w:val="420B0476"/>
    <w:rsid w:val="42894808"/>
    <w:rsid w:val="42D86298"/>
    <w:rsid w:val="42EE0B0F"/>
    <w:rsid w:val="436C4C92"/>
    <w:rsid w:val="43874EB8"/>
    <w:rsid w:val="439F739E"/>
    <w:rsid w:val="43C53EED"/>
    <w:rsid w:val="43DB1093"/>
    <w:rsid w:val="44086D9A"/>
    <w:rsid w:val="440B71BB"/>
    <w:rsid w:val="44360DC1"/>
    <w:rsid w:val="4441584C"/>
    <w:rsid w:val="444C65CD"/>
    <w:rsid w:val="444F4F3A"/>
    <w:rsid w:val="446E1C6F"/>
    <w:rsid w:val="44EF6B85"/>
    <w:rsid w:val="4525470A"/>
    <w:rsid w:val="4528322F"/>
    <w:rsid w:val="45780F51"/>
    <w:rsid w:val="45C323F1"/>
    <w:rsid w:val="46301D91"/>
    <w:rsid w:val="466330FF"/>
    <w:rsid w:val="467363F8"/>
    <w:rsid w:val="46DE5907"/>
    <w:rsid w:val="47310BC3"/>
    <w:rsid w:val="473968FE"/>
    <w:rsid w:val="474732F8"/>
    <w:rsid w:val="479466CB"/>
    <w:rsid w:val="47DA120A"/>
    <w:rsid w:val="48196943"/>
    <w:rsid w:val="485F7C46"/>
    <w:rsid w:val="498E0956"/>
    <w:rsid w:val="49FC6E82"/>
    <w:rsid w:val="4AC128C1"/>
    <w:rsid w:val="4AC436A6"/>
    <w:rsid w:val="4B3308B5"/>
    <w:rsid w:val="4B337875"/>
    <w:rsid w:val="4B5E0F69"/>
    <w:rsid w:val="4B727C4A"/>
    <w:rsid w:val="4C592403"/>
    <w:rsid w:val="4C863DA4"/>
    <w:rsid w:val="4CC56D43"/>
    <w:rsid w:val="4CF431C6"/>
    <w:rsid w:val="4D101657"/>
    <w:rsid w:val="4D166C24"/>
    <w:rsid w:val="4D2A484F"/>
    <w:rsid w:val="4D3F3542"/>
    <w:rsid w:val="4D6B3488"/>
    <w:rsid w:val="4D891B60"/>
    <w:rsid w:val="4DB43081"/>
    <w:rsid w:val="4E120E4F"/>
    <w:rsid w:val="4EE15319"/>
    <w:rsid w:val="4F755F96"/>
    <w:rsid w:val="4FCE7CFE"/>
    <w:rsid w:val="500858B2"/>
    <w:rsid w:val="50384320"/>
    <w:rsid w:val="503849E2"/>
    <w:rsid w:val="50DB56F2"/>
    <w:rsid w:val="51791EEB"/>
    <w:rsid w:val="526B7E3F"/>
    <w:rsid w:val="52941907"/>
    <w:rsid w:val="52A925E8"/>
    <w:rsid w:val="52EB531A"/>
    <w:rsid w:val="534E30A1"/>
    <w:rsid w:val="53826985"/>
    <w:rsid w:val="53866166"/>
    <w:rsid w:val="53BA7EFE"/>
    <w:rsid w:val="53E27405"/>
    <w:rsid w:val="54090B2A"/>
    <w:rsid w:val="54B20F72"/>
    <w:rsid w:val="54B82E4B"/>
    <w:rsid w:val="54FD6961"/>
    <w:rsid w:val="550A1849"/>
    <w:rsid w:val="551B6DA4"/>
    <w:rsid w:val="55340EE1"/>
    <w:rsid w:val="5569448A"/>
    <w:rsid w:val="55BD5204"/>
    <w:rsid w:val="55F0491D"/>
    <w:rsid w:val="56006F4E"/>
    <w:rsid w:val="560E354A"/>
    <w:rsid w:val="57684EDC"/>
    <w:rsid w:val="577B5D8A"/>
    <w:rsid w:val="57893085"/>
    <w:rsid w:val="57DF039F"/>
    <w:rsid w:val="588C4FE0"/>
    <w:rsid w:val="59126315"/>
    <w:rsid w:val="597A34A2"/>
    <w:rsid w:val="59D76D95"/>
    <w:rsid w:val="59F20F41"/>
    <w:rsid w:val="5B302D4D"/>
    <w:rsid w:val="5B610EEF"/>
    <w:rsid w:val="5B7E082A"/>
    <w:rsid w:val="5C2B6D59"/>
    <w:rsid w:val="5C8B41AB"/>
    <w:rsid w:val="5D245C48"/>
    <w:rsid w:val="5D423AD9"/>
    <w:rsid w:val="5D646D9A"/>
    <w:rsid w:val="5D707935"/>
    <w:rsid w:val="5DB6074F"/>
    <w:rsid w:val="5DD22CB5"/>
    <w:rsid w:val="5E2268BA"/>
    <w:rsid w:val="5E726201"/>
    <w:rsid w:val="5EA82788"/>
    <w:rsid w:val="5EDA38A3"/>
    <w:rsid w:val="5F0A4C2A"/>
    <w:rsid w:val="5F23318E"/>
    <w:rsid w:val="5F264AF1"/>
    <w:rsid w:val="5FDF615F"/>
    <w:rsid w:val="60555D48"/>
    <w:rsid w:val="608F40A8"/>
    <w:rsid w:val="609355AC"/>
    <w:rsid w:val="60957D19"/>
    <w:rsid w:val="609B040A"/>
    <w:rsid w:val="60B06F3A"/>
    <w:rsid w:val="61654438"/>
    <w:rsid w:val="616C0ECA"/>
    <w:rsid w:val="61C86D4A"/>
    <w:rsid w:val="62807BBC"/>
    <w:rsid w:val="62BB5EA5"/>
    <w:rsid w:val="62C06785"/>
    <w:rsid w:val="62C751AC"/>
    <w:rsid w:val="63161CB4"/>
    <w:rsid w:val="63193E36"/>
    <w:rsid w:val="63844E4C"/>
    <w:rsid w:val="638A48B7"/>
    <w:rsid w:val="640C7DE4"/>
    <w:rsid w:val="647836C6"/>
    <w:rsid w:val="64852C29"/>
    <w:rsid w:val="64AE59F6"/>
    <w:rsid w:val="65B56C0B"/>
    <w:rsid w:val="65C824A2"/>
    <w:rsid w:val="65C97631"/>
    <w:rsid w:val="65F21AB3"/>
    <w:rsid w:val="66251B68"/>
    <w:rsid w:val="66664CDC"/>
    <w:rsid w:val="67127912"/>
    <w:rsid w:val="6732221A"/>
    <w:rsid w:val="674D1342"/>
    <w:rsid w:val="67B21283"/>
    <w:rsid w:val="67BE5741"/>
    <w:rsid w:val="681B4A8F"/>
    <w:rsid w:val="6849021F"/>
    <w:rsid w:val="685D7620"/>
    <w:rsid w:val="68651334"/>
    <w:rsid w:val="687A3C05"/>
    <w:rsid w:val="68940414"/>
    <w:rsid w:val="69553B4D"/>
    <w:rsid w:val="69724AD7"/>
    <w:rsid w:val="698F2F8F"/>
    <w:rsid w:val="699A7177"/>
    <w:rsid w:val="699F771D"/>
    <w:rsid w:val="69EF13EF"/>
    <w:rsid w:val="6B030D4C"/>
    <w:rsid w:val="6B807383"/>
    <w:rsid w:val="6B976565"/>
    <w:rsid w:val="6BBD6062"/>
    <w:rsid w:val="6BE74E19"/>
    <w:rsid w:val="6C001E4A"/>
    <w:rsid w:val="6C0E785F"/>
    <w:rsid w:val="6CD37D36"/>
    <w:rsid w:val="6CDA13EF"/>
    <w:rsid w:val="6D6F26C8"/>
    <w:rsid w:val="6E18382A"/>
    <w:rsid w:val="6E2A65EF"/>
    <w:rsid w:val="6E625D89"/>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D0382F"/>
    <w:rsid w:val="745C32DA"/>
    <w:rsid w:val="748A436C"/>
    <w:rsid w:val="74B66E2F"/>
    <w:rsid w:val="74CE6A7E"/>
    <w:rsid w:val="74EE6617"/>
    <w:rsid w:val="753A180E"/>
    <w:rsid w:val="756276E8"/>
    <w:rsid w:val="75734D20"/>
    <w:rsid w:val="75864A53"/>
    <w:rsid w:val="75B77661"/>
    <w:rsid w:val="760834D9"/>
    <w:rsid w:val="767338C9"/>
    <w:rsid w:val="76AF359F"/>
    <w:rsid w:val="76BF43FB"/>
    <w:rsid w:val="788460D8"/>
    <w:rsid w:val="78B31426"/>
    <w:rsid w:val="78B6564F"/>
    <w:rsid w:val="78EA354B"/>
    <w:rsid w:val="795B4B05"/>
    <w:rsid w:val="796D2967"/>
    <w:rsid w:val="79CD5CEC"/>
    <w:rsid w:val="7A592736"/>
    <w:rsid w:val="7AA240DD"/>
    <w:rsid w:val="7AA37E55"/>
    <w:rsid w:val="7B3B7919"/>
    <w:rsid w:val="7B683833"/>
    <w:rsid w:val="7B6E621C"/>
    <w:rsid w:val="7B6F7CF7"/>
    <w:rsid w:val="7C4B2B74"/>
    <w:rsid w:val="7C804BFA"/>
    <w:rsid w:val="7C831CEC"/>
    <w:rsid w:val="7C89326C"/>
    <w:rsid w:val="7CC516EE"/>
    <w:rsid w:val="7CFF2A1E"/>
    <w:rsid w:val="7D013D1F"/>
    <w:rsid w:val="7D0746CC"/>
    <w:rsid w:val="7D26648E"/>
    <w:rsid w:val="7D493C9C"/>
    <w:rsid w:val="7D8904F4"/>
    <w:rsid w:val="7E611BB9"/>
    <w:rsid w:val="7E7D73FF"/>
    <w:rsid w:val="7EB77390"/>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4">
    <w:name w:val="heading 1"/>
    <w:basedOn w:val="1"/>
    <w:next w:val="5"/>
    <w:link w:val="21"/>
    <w:qFormat/>
    <w:uiPriority w:val="99"/>
    <w:pPr>
      <w:spacing w:before="159" w:after="153" w:line="554" w:lineRule="atLeast"/>
      <w:ind w:firstLine="0"/>
      <w:jc w:val="center"/>
      <w:outlineLvl w:val="0"/>
    </w:pPr>
    <w:rPr>
      <w:rFonts w:ascii="Arial" w:hAnsi="Arial" w:eastAsia="黑体" w:cs="Arial"/>
      <w:sz w:val="32"/>
      <w:szCs w:val="32"/>
    </w:rPr>
  </w:style>
  <w:style w:type="paragraph" w:styleId="5">
    <w:name w:val="heading 2"/>
    <w:basedOn w:val="1"/>
    <w:next w:val="6"/>
    <w:link w:val="22"/>
    <w:qFormat/>
    <w:uiPriority w:val="99"/>
    <w:pPr>
      <w:spacing w:line="519" w:lineRule="atLeast"/>
      <w:ind w:firstLine="0"/>
      <w:jc w:val="center"/>
      <w:outlineLvl w:val="1"/>
    </w:pPr>
    <w:rPr>
      <w:sz w:val="28"/>
      <w:szCs w:val="28"/>
    </w:rPr>
  </w:style>
  <w:style w:type="paragraph" w:styleId="6">
    <w:name w:val="heading 3"/>
    <w:basedOn w:val="1"/>
    <w:next w:val="1"/>
    <w:link w:val="23"/>
    <w:qFormat/>
    <w:uiPriority w:val="99"/>
    <w:pPr>
      <w:spacing w:before="176" w:after="102"/>
      <w:ind w:firstLine="0"/>
      <w:outlineLvl w:val="2"/>
    </w:pPr>
    <w:rPr>
      <w:rFonts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next w:val="3"/>
    <w:qFormat/>
    <w:locked/>
    <w:uiPriority w:val="0"/>
    <w:pPr>
      <w:widowControl w:val="0"/>
      <w:spacing w:after="120"/>
      <w:ind w:firstLine="420" w:firstLineChars="100"/>
      <w:jc w:val="both"/>
    </w:pPr>
    <w:rPr>
      <w:rFonts w:ascii="Calibri" w:hAnsi="Calibri" w:eastAsia="宋体" w:cs="黑体"/>
      <w:kern w:val="2"/>
      <w:sz w:val="21"/>
      <w:szCs w:val="24"/>
      <w:lang w:val="en-US" w:eastAsia="zh-CN" w:bidi="ar-SA"/>
    </w:rPr>
  </w:style>
  <w:style w:type="paragraph" w:styleId="3">
    <w:name w:val="header"/>
    <w:basedOn w:val="1"/>
    <w:link w:val="2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7">
    <w:name w:val="toc 3"/>
    <w:basedOn w:val="1"/>
    <w:next w:val="1"/>
    <w:semiHidden/>
    <w:qFormat/>
    <w:uiPriority w:val="99"/>
    <w:pPr>
      <w:spacing w:line="548" w:lineRule="atLeast"/>
    </w:pPr>
  </w:style>
  <w:style w:type="paragraph" w:styleId="8">
    <w:name w:val="Date"/>
    <w:basedOn w:val="1"/>
    <w:next w:val="1"/>
    <w:link w:val="24"/>
    <w:qFormat/>
    <w:uiPriority w:val="99"/>
    <w:pPr>
      <w:ind w:left="100" w:leftChars="2500"/>
    </w:pPr>
  </w:style>
  <w:style w:type="paragraph" w:styleId="9">
    <w:name w:val="footer"/>
    <w:basedOn w:val="1"/>
    <w:link w:val="25"/>
    <w:qFormat/>
    <w:uiPriority w:val="99"/>
    <w:pPr>
      <w:tabs>
        <w:tab w:val="center" w:pos="4153"/>
        <w:tab w:val="right" w:pos="8306"/>
      </w:tabs>
      <w:snapToGrid w:val="0"/>
      <w:jc w:val="left"/>
    </w:pPr>
    <w:rPr>
      <w:sz w:val="18"/>
      <w:szCs w:val="18"/>
    </w:rPr>
  </w:style>
  <w:style w:type="paragraph" w:styleId="10">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1">
    <w:name w:val="toc 4"/>
    <w:basedOn w:val="1"/>
    <w:next w:val="1"/>
    <w:semiHidden/>
    <w:qFormat/>
    <w:uiPriority w:val="99"/>
    <w:pPr>
      <w:spacing w:line="548" w:lineRule="atLeast"/>
      <w:ind w:firstLine="630"/>
    </w:pPr>
  </w:style>
  <w:style w:type="paragraph" w:styleId="12">
    <w:name w:val="toc 2"/>
    <w:basedOn w:val="1"/>
    <w:next w:val="1"/>
    <w:semiHidden/>
    <w:qFormat/>
    <w:uiPriority w:val="99"/>
    <w:pPr>
      <w:spacing w:line="548" w:lineRule="atLeast"/>
      <w:ind w:firstLine="210"/>
    </w:pPr>
  </w:style>
  <w:style w:type="paragraph" w:styleId="13">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4">
    <w:name w:val="Title"/>
    <w:basedOn w:val="1"/>
    <w:next w:val="15"/>
    <w:link w:val="27"/>
    <w:qFormat/>
    <w:uiPriority w:val="99"/>
    <w:pPr>
      <w:spacing w:before="567" w:after="545" w:line="808" w:lineRule="atLeast"/>
      <w:ind w:firstLine="0"/>
      <w:jc w:val="center"/>
    </w:pPr>
    <w:rPr>
      <w:rFonts w:ascii="Arial" w:hAnsi="Arial" w:eastAsia="黑体" w:cs="Arial"/>
      <w:sz w:val="52"/>
      <w:szCs w:val="52"/>
    </w:rPr>
  </w:style>
  <w:style w:type="paragraph" w:customStyle="1" w:styleId="15">
    <w:name w:val="文章副标题"/>
    <w:basedOn w:val="1"/>
    <w:next w:val="4"/>
    <w:qFormat/>
    <w:uiPriority w:val="99"/>
    <w:pPr>
      <w:spacing w:before="104" w:after="104" w:line="240" w:lineRule="atLeast"/>
      <w:ind w:firstLine="0"/>
      <w:jc w:val="center"/>
    </w:pPr>
    <w:rPr>
      <w:sz w:val="36"/>
      <w:szCs w:val="36"/>
    </w:rPr>
  </w:style>
  <w:style w:type="character" w:styleId="18">
    <w:name w:val="Strong"/>
    <w:basedOn w:val="17"/>
    <w:qFormat/>
    <w:uiPriority w:val="22"/>
    <w:rPr>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character" w:customStyle="1" w:styleId="21">
    <w:name w:val="标题 1 Char"/>
    <w:basedOn w:val="17"/>
    <w:link w:val="4"/>
    <w:qFormat/>
    <w:locked/>
    <w:uiPriority w:val="99"/>
    <w:rPr>
      <w:rFonts w:cs="Times New Roman"/>
      <w:b/>
      <w:bCs/>
      <w:color w:val="000000"/>
      <w:kern w:val="44"/>
      <w:sz w:val="44"/>
      <w:szCs w:val="44"/>
    </w:rPr>
  </w:style>
  <w:style w:type="character" w:customStyle="1" w:styleId="22">
    <w:name w:val="标题 2 Char"/>
    <w:basedOn w:val="17"/>
    <w:link w:val="5"/>
    <w:semiHidden/>
    <w:qFormat/>
    <w:locked/>
    <w:uiPriority w:val="99"/>
    <w:rPr>
      <w:rFonts w:ascii="Cambria" w:hAnsi="Cambria" w:eastAsia="宋体" w:cs="Cambria"/>
      <w:b/>
      <w:bCs/>
      <w:color w:val="000000"/>
      <w:kern w:val="0"/>
      <w:sz w:val="32"/>
      <w:szCs w:val="32"/>
    </w:rPr>
  </w:style>
  <w:style w:type="character" w:customStyle="1" w:styleId="23">
    <w:name w:val="标题 3 Char"/>
    <w:basedOn w:val="17"/>
    <w:link w:val="6"/>
    <w:semiHidden/>
    <w:qFormat/>
    <w:locked/>
    <w:uiPriority w:val="99"/>
    <w:rPr>
      <w:rFonts w:cs="Times New Roman"/>
      <w:b/>
      <w:bCs/>
      <w:color w:val="000000"/>
      <w:kern w:val="0"/>
      <w:sz w:val="32"/>
      <w:szCs w:val="32"/>
    </w:rPr>
  </w:style>
  <w:style w:type="character" w:customStyle="1" w:styleId="24">
    <w:name w:val="日期 Char"/>
    <w:basedOn w:val="17"/>
    <w:link w:val="8"/>
    <w:semiHidden/>
    <w:qFormat/>
    <w:locked/>
    <w:uiPriority w:val="99"/>
    <w:rPr>
      <w:rFonts w:cs="Times New Roman"/>
      <w:color w:val="000000"/>
      <w:kern w:val="0"/>
      <w:sz w:val="20"/>
      <w:szCs w:val="20"/>
    </w:rPr>
  </w:style>
  <w:style w:type="character" w:customStyle="1" w:styleId="25">
    <w:name w:val="页脚 Char"/>
    <w:basedOn w:val="17"/>
    <w:link w:val="9"/>
    <w:semiHidden/>
    <w:qFormat/>
    <w:locked/>
    <w:uiPriority w:val="99"/>
    <w:rPr>
      <w:rFonts w:cs="Times New Roman"/>
      <w:color w:val="000000"/>
      <w:kern w:val="0"/>
      <w:sz w:val="18"/>
      <w:szCs w:val="18"/>
    </w:rPr>
  </w:style>
  <w:style w:type="character" w:customStyle="1" w:styleId="26">
    <w:name w:val="页眉 Char"/>
    <w:basedOn w:val="17"/>
    <w:link w:val="3"/>
    <w:semiHidden/>
    <w:qFormat/>
    <w:locked/>
    <w:uiPriority w:val="99"/>
    <w:rPr>
      <w:rFonts w:cs="Times New Roman"/>
      <w:color w:val="000000"/>
      <w:kern w:val="0"/>
      <w:sz w:val="18"/>
      <w:szCs w:val="18"/>
    </w:rPr>
  </w:style>
  <w:style w:type="character" w:customStyle="1" w:styleId="27">
    <w:name w:val="标题 Char"/>
    <w:basedOn w:val="17"/>
    <w:link w:val="14"/>
    <w:qFormat/>
    <w:locked/>
    <w:uiPriority w:val="99"/>
    <w:rPr>
      <w:rFonts w:ascii="Cambria" w:hAnsi="Cambria" w:cs="Cambria"/>
      <w:b/>
      <w:bCs/>
      <w:color w:val="000000"/>
      <w:kern w:val="0"/>
      <w:sz w:val="32"/>
      <w:szCs w:val="32"/>
    </w:rPr>
  </w:style>
  <w:style w:type="character" w:customStyle="1" w:styleId="28">
    <w:name w:val="默认段落字体 Char"/>
    <w:qFormat/>
    <w:uiPriority w:val="99"/>
    <w:rPr>
      <w:rFonts w:ascii="Times New Roman" w:hAnsi="Times New Roman" w:eastAsia="宋体"/>
      <w:color w:val="000000"/>
      <w:spacing w:val="0"/>
      <w:w w:val="100"/>
      <w:sz w:val="21"/>
      <w:vertAlign w:val="baseline"/>
    </w:rPr>
  </w:style>
  <w:style w:type="character" w:customStyle="1" w:styleId="29">
    <w:name w:val="链接"/>
    <w:basedOn w:val="17"/>
    <w:qFormat/>
    <w:uiPriority w:val="99"/>
    <w:rPr>
      <w:rFonts w:ascii="Times New Roman" w:hAnsi="Times New Roman" w:eastAsia="宋体" w:cs="Times New Roman"/>
      <w:color w:val="0000FF"/>
      <w:sz w:val="21"/>
      <w:szCs w:val="21"/>
      <w:u w:val="single" w:color="0000FF"/>
      <w:vertAlign w:val="baseline"/>
    </w:rPr>
  </w:style>
  <w:style w:type="character" w:customStyle="1" w:styleId="30">
    <w:name w:val="超级链接"/>
    <w:basedOn w:val="28"/>
    <w:qFormat/>
    <w:uiPriority w:val="99"/>
    <w:rPr>
      <w:rFonts w:cs="Times New Roman"/>
      <w:color w:val="0000FF"/>
      <w:szCs w:val="21"/>
      <w:u w:val="single" w:color="0000FF"/>
    </w:rPr>
  </w:style>
  <w:style w:type="paragraph" w:customStyle="1" w:styleId="31">
    <w:name w:val="WPS Plain"/>
    <w:qFormat/>
    <w:uiPriority w:val="99"/>
    <w:rPr>
      <w:rFonts w:ascii="Times New Roman" w:hAnsi="Times New Roman" w:eastAsia="宋体" w:cs="Times New Roman"/>
      <w:lang w:val="en-US" w:eastAsia="zh-CN" w:bidi="ar-SA"/>
    </w:rPr>
  </w:style>
  <w:style w:type="paragraph" w:customStyle="1" w:styleId="32">
    <w:name w:val="普通表格1"/>
    <w:qFormat/>
    <w:uiPriority w:val="99"/>
    <w:rPr>
      <w:rFonts w:ascii="Times New Roman" w:hAnsi="Times New Roman" w:eastAsia="宋体" w:cs="Times New Roman"/>
      <w:lang w:val="en-US" w:eastAsia="zh-CN" w:bidi="ar-SA"/>
    </w:rPr>
  </w:style>
  <w:style w:type="paragraph" w:customStyle="1" w:styleId="33">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4">
    <w:name w:val="无列表1"/>
    <w:qFormat/>
    <w:uiPriority w:val="99"/>
    <w:rPr>
      <w:rFonts w:ascii="Times New Roman" w:hAnsi="Times New Roman" w:eastAsia="宋体" w:cs="Times New Roman"/>
      <w:lang w:val="en-US" w:eastAsia="zh-CN" w:bidi="ar-SA"/>
    </w:rPr>
  </w:style>
  <w:style w:type="paragraph" w:customStyle="1" w:styleId="35">
    <w:name w:val="0"/>
    <w:basedOn w:val="1"/>
    <w:qFormat/>
    <w:uiPriority w:val="99"/>
    <w:pPr>
      <w:widowControl/>
      <w:snapToGrid w:val="0"/>
      <w:spacing w:line="240" w:lineRule="auto"/>
      <w:ind w:left="0" w:firstLine="0"/>
      <w:textAlignment w:val="auto"/>
    </w:pPr>
    <w:rPr>
      <w:color w:val="auto"/>
    </w:rPr>
  </w:style>
  <w:style w:type="paragraph" w:customStyle="1" w:styleId="36">
    <w:name w:val="文章附标题"/>
    <w:basedOn w:val="1"/>
    <w:qFormat/>
    <w:uiPriority w:val="99"/>
    <w:pPr>
      <w:spacing w:before="187" w:after="176" w:line="607" w:lineRule="atLeast"/>
      <w:ind w:firstLine="0"/>
      <w:jc w:val="center"/>
    </w:pPr>
    <w:rPr>
      <w:sz w:val="36"/>
      <w:szCs w:val="36"/>
    </w:rPr>
  </w:style>
  <w:style w:type="paragraph" w:styleId="37">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11</Pages>
  <Words>5733</Words>
  <Characters>6365</Characters>
  <Lines>41</Lines>
  <Paragraphs>11</Paragraphs>
  <TotalTime>49</TotalTime>
  <ScaleCrop>false</ScaleCrop>
  <LinksUpToDate>false</LinksUpToDate>
  <CharactersWithSpaces>6398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2023-08-24T02:14:21Z</cp:lastPrinted>
  <dcterms:modified xsi:type="dcterms:W3CDTF">2023-08-24T02:56:21Z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74BC9C510FC545E28C4CB123CA3B8CE2_13</vt:lpwstr>
  </property>
</Properties>
</file>