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b/>
          <w:bCs/>
          <w:color w:val="auto"/>
          <w:sz w:val="44"/>
          <w:szCs w:val="44"/>
        </w:rPr>
      </w:pPr>
    </w:p>
    <w:p>
      <w:pPr>
        <w:spacing w:line="560" w:lineRule="exact"/>
        <w:ind w:left="0"/>
        <w:jc w:val="center"/>
        <w:rPr>
          <w:rFonts w:hint="eastAsia" w:ascii="宋体" w:hAnsi="宋体" w:eastAsia="宋体" w:cs="宋体"/>
          <w:b/>
          <w:bCs w:val="0"/>
          <w:color w:val="auto"/>
          <w:sz w:val="44"/>
          <w:szCs w:val="44"/>
        </w:rPr>
      </w:pPr>
      <w:bookmarkStart w:id="0" w:name="_GoBack"/>
      <w:r>
        <w:rPr>
          <w:rFonts w:hint="eastAsia" w:ascii="宋体" w:hAnsi="宋体" w:eastAsia="宋体" w:cs="宋体"/>
          <w:b/>
          <w:bCs w:val="0"/>
          <w:color w:val="auto"/>
          <w:sz w:val="44"/>
          <w:szCs w:val="44"/>
        </w:rPr>
        <w:t>乌海市公共资源交易中心</w:t>
      </w:r>
    </w:p>
    <w:p>
      <w:pPr>
        <w:spacing w:line="560" w:lineRule="exact"/>
        <w:ind w:left="0"/>
        <w:jc w:val="center"/>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国有土地使用权挂牌出让公告</w:t>
      </w:r>
    </w:p>
    <w:p>
      <w:pPr>
        <w:jc w:val="center"/>
        <w:rPr>
          <w:rFonts w:ascii="仿宋" w:hAnsi="仿宋" w:eastAsia="仿宋"/>
          <w:bCs/>
          <w:color w:val="auto"/>
          <w:sz w:val="32"/>
          <w:szCs w:val="32"/>
          <w:highlight w:val="none"/>
        </w:rPr>
      </w:pPr>
      <w:r>
        <w:rPr>
          <w:rFonts w:hint="eastAsia" w:ascii="仿宋" w:hAnsi="仿宋" w:eastAsia="仿宋" w:cs="仿宋"/>
          <w:bCs/>
          <w:color w:val="auto"/>
          <w:sz w:val="32"/>
          <w:szCs w:val="32"/>
          <w:highlight w:val="none"/>
        </w:rPr>
        <w:t>乌资交挂字〔</w:t>
      </w:r>
      <w:r>
        <w:rPr>
          <w:rFonts w:ascii="仿宋" w:hAnsi="仿宋" w:eastAsia="仿宋" w:cs="仿宋"/>
          <w:bCs/>
          <w:color w:val="auto"/>
          <w:sz w:val="32"/>
          <w:szCs w:val="32"/>
          <w:highlight w:val="none"/>
        </w:rPr>
        <w:t>202</w:t>
      </w:r>
      <w:r>
        <w:rPr>
          <w:rFonts w:hint="eastAsia" w:ascii="仿宋" w:hAnsi="仿宋" w:eastAsia="仿宋" w:cs="仿宋"/>
          <w:bCs/>
          <w:color w:val="auto"/>
          <w:sz w:val="32"/>
          <w:szCs w:val="32"/>
          <w:highlight w:val="none"/>
          <w:lang w:val="en-US" w:eastAsia="zh-CN"/>
        </w:rPr>
        <w:t>3</w:t>
      </w:r>
      <w:r>
        <w:rPr>
          <w:rFonts w:hint="eastAsia" w:ascii="仿宋" w:hAnsi="仿宋" w:eastAsia="仿宋" w:cs="仿宋"/>
          <w:bCs/>
          <w:color w:val="auto"/>
          <w:sz w:val="32"/>
          <w:szCs w:val="32"/>
          <w:highlight w:val="none"/>
        </w:rPr>
        <w:t>〕</w:t>
      </w:r>
      <w:r>
        <w:rPr>
          <w:rFonts w:hint="eastAsia" w:ascii="仿宋" w:hAnsi="仿宋" w:eastAsia="仿宋" w:cs="仿宋"/>
          <w:bCs/>
          <w:color w:val="auto"/>
          <w:sz w:val="32"/>
          <w:szCs w:val="32"/>
          <w:highlight w:val="none"/>
          <w:lang w:val="en-US" w:eastAsia="zh-CN"/>
        </w:rPr>
        <w:t xml:space="preserve">41 </w:t>
      </w:r>
      <w:r>
        <w:rPr>
          <w:rFonts w:hint="eastAsia" w:ascii="仿宋" w:hAnsi="仿宋" w:eastAsia="仿宋" w:cs="仿宋"/>
          <w:bCs/>
          <w:color w:val="auto"/>
          <w:sz w:val="32"/>
          <w:szCs w:val="32"/>
          <w:highlight w:val="none"/>
        </w:rPr>
        <w:t>号</w:t>
      </w:r>
    </w:p>
    <w:p>
      <w:pPr>
        <w:spacing w:line="560" w:lineRule="exact"/>
        <w:ind w:left="0" w:firstLine="643" w:firstLineChars="200"/>
        <w:jc w:val="center"/>
        <w:rPr>
          <w:rFonts w:asciiTheme="minorEastAsia" w:hAnsiTheme="minorEastAsia" w:eastAsiaTheme="minorEastAsia"/>
          <w:b/>
          <w:bCs/>
          <w:color w:val="auto"/>
          <w:sz w:val="32"/>
          <w:szCs w:val="32"/>
        </w:rPr>
      </w:pPr>
    </w:p>
    <w:p>
      <w:pPr>
        <w:spacing w:line="560" w:lineRule="exact"/>
        <w:ind w:left="0" w:firstLine="640" w:firstLineChars="200"/>
        <w:textAlignment w:val="baseline"/>
        <w:rPr>
          <w:rFonts w:ascii="仿宋" w:hAnsi="仿宋" w:eastAsia="仿宋"/>
          <w:color w:val="auto"/>
          <w:sz w:val="32"/>
          <w:szCs w:val="32"/>
        </w:rPr>
      </w:pPr>
      <w:r>
        <w:rPr>
          <w:rFonts w:hint="eastAsia" w:ascii="仿宋" w:hAnsi="仿宋" w:eastAsia="仿宋" w:cs="FangSong_GB2312"/>
          <w:color w:val="auto"/>
          <w:sz w:val="32"/>
          <w:szCs w:val="32"/>
        </w:rPr>
        <w:t>经</w:t>
      </w:r>
      <w:r>
        <w:rPr>
          <w:rFonts w:hint="eastAsia" w:ascii="仿宋" w:hAnsi="仿宋" w:eastAsia="仿宋" w:cs="FangSong_GB2312"/>
          <w:color w:val="auto"/>
          <w:sz w:val="32"/>
          <w:szCs w:val="32"/>
        </w:rPr>
        <w:t>乌海市</w:t>
      </w:r>
      <w:r>
        <w:rPr>
          <w:rFonts w:hint="eastAsia" w:ascii="仿宋" w:hAnsi="仿宋" w:eastAsia="仿宋" w:cs="FangSong_GB2312"/>
          <w:color w:val="auto"/>
          <w:sz w:val="32"/>
          <w:szCs w:val="32"/>
          <w:lang w:eastAsia="zh-CN"/>
        </w:rPr>
        <w:t>海勃湾区</w:t>
      </w:r>
      <w:r>
        <w:rPr>
          <w:rFonts w:hint="eastAsia" w:ascii="仿宋" w:hAnsi="仿宋" w:eastAsia="仿宋" w:cs="FangSong_GB2312"/>
          <w:color w:val="auto"/>
          <w:sz w:val="32"/>
          <w:szCs w:val="32"/>
        </w:rPr>
        <w:t>人民政府</w:t>
      </w:r>
      <w:r>
        <w:rPr>
          <w:rFonts w:hint="eastAsia" w:ascii="仿宋" w:hAnsi="仿宋" w:eastAsia="仿宋" w:cs="FangSong_GB2312"/>
          <w:color w:val="auto"/>
          <w:sz w:val="32"/>
          <w:szCs w:val="32"/>
        </w:rPr>
        <w:t>批准，</w:t>
      </w:r>
      <w:r>
        <w:rPr>
          <w:rFonts w:hint="eastAsia" w:ascii="仿宋" w:hAnsi="仿宋" w:eastAsia="仿宋" w:cs="FangSong_GB2312"/>
          <w:color w:val="auto"/>
          <w:sz w:val="32"/>
          <w:szCs w:val="32"/>
        </w:rPr>
        <w:t>乌海市自然资源局</w:t>
      </w:r>
      <w:r>
        <w:rPr>
          <w:rFonts w:hint="eastAsia" w:ascii="仿宋" w:hAnsi="仿宋" w:eastAsia="仿宋" w:cs="FangSong_GB2312"/>
          <w:color w:val="auto"/>
          <w:sz w:val="32"/>
          <w:szCs w:val="32"/>
          <w:lang w:eastAsia="zh-CN"/>
        </w:rPr>
        <w:t>海勃湾</w:t>
      </w:r>
      <w:r>
        <w:rPr>
          <w:rFonts w:hint="eastAsia" w:ascii="仿宋" w:hAnsi="仿宋" w:eastAsia="仿宋" w:cs="FangSong_GB2312"/>
          <w:color w:val="auto"/>
          <w:sz w:val="32"/>
          <w:szCs w:val="32"/>
        </w:rPr>
        <w:t>分局</w:t>
      </w:r>
      <w:r>
        <w:rPr>
          <w:rFonts w:hint="eastAsia" w:ascii="仿宋" w:hAnsi="仿宋" w:eastAsia="仿宋" w:cs="FangSong_GB2312"/>
          <w:color w:val="auto"/>
          <w:sz w:val="32"/>
          <w:szCs w:val="32"/>
        </w:rPr>
        <w:t>以挂牌方式出让</w:t>
      </w:r>
      <w:r>
        <w:rPr>
          <w:rFonts w:hint="eastAsia" w:ascii="仿宋" w:hAnsi="仿宋" w:eastAsia="仿宋" w:cs="FangSong_GB2312"/>
          <w:color w:val="auto"/>
          <w:sz w:val="32"/>
          <w:szCs w:val="32"/>
          <w:highlight w:val="none"/>
          <w:lang w:val="en-US" w:eastAsia="zh-CN"/>
        </w:rPr>
        <w:t>1</w:t>
      </w:r>
      <w:r>
        <w:rPr>
          <w:rFonts w:hint="eastAsia" w:ascii="仿宋" w:hAnsi="仿宋" w:eastAsia="仿宋" w:cs="FangSong_GB2312"/>
          <w:color w:val="auto"/>
          <w:sz w:val="32"/>
          <w:szCs w:val="32"/>
        </w:rPr>
        <w:t>宗地块的国有建设用地使用权，现将有关事项公告如下：</w:t>
      </w:r>
    </w:p>
    <w:p>
      <w:pPr>
        <w:numPr>
          <w:ilvl w:val="0"/>
          <w:numId w:val="1"/>
        </w:numPr>
        <w:spacing w:line="560" w:lineRule="exact"/>
        <w:ind w:left="0" w:firstLine="640" w:firstLineChars="200"/>
        <w:textAlignment w:val="baseline"/>
        <w:rPr>
          <w:rFonts w:ascii="仿宋" w:hAnsi="仿宋" w:eastAsia="仿宋" w:cs="FangSong_GB2312"/>
          <w:color w:val="auto"/>
          <w:sz w:val="32"/>
          <w:szCs w:val="32"/>
        </w:rPr>
      </w:pPr>
      <w:r>
        <w:rPr>
          <w:rFonts w:hint="eastAsia" w:ascii="仿宋" w:hAnsi="仿宋" w:eastAsia="仿宋" w:cs="FangSong_GB2312"/>
          <w:color w:val="auto"/>
          <w:sz w:val="32"/>
          <w:szCs w:val="32"/>
        </w:rPr>
        <w:t>宗地基本情况和规划要求：</w:t>
      </w:r>
    </w:p>
    <w:tbl>
      <w:tblPr>
        <w:tblStyle w:val="15"/>
        <w:tblW w:w="114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62"/>
        <w:gridCol w:w="742"/>
        <w:gridCol w:w="883"/>
        <w:gridCol w:w="1059"/>
        <w:gridCol w:w="655"/>
        <w:gridCol w:w="618"/>
        <w:gridCol w:w="756"/>
        <w:gridCol w:w="630"/>
        <w:gridCol w:w="807"/>
        <w:gridCol w:w="794"/>
        <w:gridCol w:w="630"/>
        <w:gridCol w:w="996"/>
        <w:gridCol w:w="996"/>
        <w:gridCol w:w="16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7" w:hRule="exact"/>
          <w:jc w:val="center"/>
        </w:trPr>
        <w:tc>
          <w:tcPr>
            <w:tcW w:w="262" w:type="dxa"/>
            <w:vMerge w:val="restart"/>
            <w:vAlign w:val="center"/>
          </w:tcPr>
          <w:p>
            <w:pPr>
              <w:pStyle w:val="30"/>
              <w:spacing w:line="280" w:lineRule="exact"/>
              <w:jc w:val="center"/>
              <w:textAlignment w:val="center"/>
              <w:rPr>
                <w:rFonts w:ascii="仿宋" w:hAnsi="仿宋" w:eastAsia="仿宋"/>
                <w:b/>
                <w:bCs/>
                <w:color w:val="auto"/>
                <w:sz w:val="18"/>
                <w:szCs w:val="18"/>
              </w:rPr>
            </w:pPr>
            <w:r>
              <w:rPr>
                <w:rFonts w:hint="eastAsia" w:ascii="仿宋" w:hAnsi="仿宋" w:eastAsia="仿宋" w:cs="FangSong_GB2312falt"/>
                <w:b/>
                <w:bCs/>
                <w:color w:val="auto"/>
                <w:sz w:val="18"/>
                <w:szCs w:val="18"/>
              </w:rPr>
              <w:t>序号</w:t>
            </w:r>
          </w:p>
        </w:tc>
        <w:tc>
          <w:tcPr>
            <w:tcW w:w="742" w:type="dxa"/>
            <w:vMerge w:val="restart"/>
            <w:vAlign w:val="center"/>
          </w:tcPr>
          <w:p>
            <w:pPr>
              <w:pStyle w:val="30"/>
              <w:spacing w:line="280" w:lineRule="exact"/>
              <w:jc w:val="center"/>
              <w:textAlignment w:val="center"/>
              <w:rPr>
                <w:rFonts w:ascii="仿宋" w:hAnsi="仿宋" w:eastAsia="仿宋"/>
                <w:b/>
                <w:bCs/>
                <w:color w:val="auto"/>
                <w:sz w:val="18"/>
                <w:szCs w:val="18"/>
              </w:rPr>
            </w:pPr>
            <w:r>
              <w:rPr>
                <w:rFonts w:hint="eastAsia" w:ascii="仿宋" w:hAnsi="仿宋" w:eastAsia="仿宋" w:cs="FangSong_GB2312falt"/>
                <w:b/>
                <w:bCs/>
                <w:color w:val="auto"/>
                <w:sz w:val="18"/>
                <w:szCs w:val="18"/>
              </w:rPr>
              <w:t>编号</w:t>
            </w:r>
          </w:p>
        </w:tc>
        <w:tc>
          <w:tcPr>
            <w:tcW w:w="883" w:type="dxa"/>
            <w:vMerge w:val="restart"/>
            <w:vAlign w:val="center"/>
          </w:tcPr>
          <w:p>
            <w:pPr>
              <w:spacing w:line="300" w:lineRule="exact"/>
              <w:ind w:left="0" w:firstLine="0"/>
              <w:jc w:val="center"/>
              <w:rPr>
                <w:rFonts w:hint="eastAsia" w:ascii="仿宋" w:hAnsi="仿宋" w:eastAsia="仿宋"/>
                <w:color w:val="auto"/>
                <w:sz w:val="18"/>
                <w:szCs w:val="18"/>
              </w:rPr>
            </w:pPr>
            <w:r>
              <w:rPr>
                <w:rFonts w:hint="eastAsia" w:ascii="仿宋" w:hAnsi="仿宋" w:eastAsia="仿宋"/>
                <w:color w:val="auto"/>
                <w:sz w:val="18"/>
                <w:szCs w:val="18"/>
              </w:rPr>
              <w:t>土地位置</w:t>
            </w:r>
          </w:p>
        </w:tc>
        <w:tc>
          <w:tcPr>
            <w:tcW w:w="1059" w:type="dxa"/>
            <w:vMerge w:val="restart"/>
            <w:vAlign w:val="center"/>
          </w:tcPr>
          <w:p>
            <w:pPr>
              <w:spacing w:line="280" w:lineRule="exact"/>
              <w:ind w:left="0" w:firstLine="0"/>
              <w:jc w:val="center"/>
              <w:rPr>
                <w:rFonts w:ascii="仿宋" w:hAnsi="仿宋" w:eastAsia="仿宋"/>
                <w:b/>
                <w:bCs/>
                <w:color w:val="auto"/>
                <w:sz w:val="18"/>
                <w:szCs w:val="18"/>
              </w:rPr>
            </w:pPr>
            <w:r>
              <w:rPr>
                <w:rFonts w:hint="eastAsia" w:ascii="仿宋" w:hAnsi="仿宋" w:eastAsia="仿宋" w:cs="FangSong_GB2312falt"/>
                <w:b/>
                <w:bCs/>
                <w:color w:val="auto"/>
                <w:sz w:val="18"/>
                <w:szCs w:val="18"/>
              </w:rPr>
              <w:t>土地面积</w:t>
            </w:r>
            <w:r>
              <w:rPr>
                <w:rFonts w:ascii="仿宋" w:hAnsi="仿宋" w:eastAsia="仿宋" w:cs="FangSong_GB2312falt"/>
                <w:b/>
                <w:bCs/>
                <w:color w:val="auto"/>
                <w:sz w:val="18"/>
                <w:szCs w:val="18"/>
              </w:rPr>
              <w:t>(m</w:t>
            </w:r>
            <w:r>
              <w:rPr>
                <w:rFonts w:ascii="仿宋" w:hAnsi="仿宋" w:eastAsia="仿宋" w:cs="FangSong_GB2312falt"/>
                <w:b/>
                <w:bCs/>
                <w:color w:val="auto"/>
                <w:sz w:val="18"/>
                <w:szCs w:val="18"/>
                <w:vertAlign w:val="superscript"/>
              </w:rPr>
              <w:t>2</w:t>
            </w:r>
            <w:r>
              <w:rPr>
                <w:rFonts w:hint="eastAsia" w:ascii="仿宋" w:hAnsi="仿宋" w:eastAsia="仿宋" w:cs="FangSong_GB2312falt"/>
                <w:b/>
                <w:bCs/>
                <w:color w:val="auto"/>
                <w:sz w:val="18"/>
                <w:szCs w:val="18"/>
              </w:rPr>
              <w:t>）</w:t>
            </w:r>
          </w:p>
        </w:tc>
        <w:tc>
          <w:tcPr>
            <w:tcW w:w="655" w:type="dxa"/>
            <w:vMerge w:val="restart"/>
            <w:vAlign w:val="center"/>
          </w:tcPr>
          <w:p>
            <w:pPr>
              <w:spacing w:line="280" w:lineRule="exact"/>
              <w:ind w:left="0" w:firstLine="0"/>
              <w:jc w:val="center"/>
              <w:rPr>
                <w:rFonts w:hint="eastAsia" w:ascii="仿宋" w:hAnsi="仿宋" w:eastAsia="仿宋" w:cs="FangSong_GB2312falt"/>
                <w:b/>
                <w:bCs/>
                <w:color w:val="auto"/>
                <w:sz w:val="18"/>
                <w:szCs w:val="18"/>
                <w:lang w:val="en-US" w:eastAsia="zh-CN"/>
              </w:rPr>
            </w:pPr>
            <w:r>
              <w:rPr>
                <w:rFonts w:hint="eastAsia" w:ascii="仿宋" w:hAnsi="仿宋" w:eastAsia="仿宋" w:cs="FangSong_GB2312falt"/>
                <w:b/>
                <w:bCs/>
                <w:color w:val="auto"/>
                <w:sz w:val="18"/>
                <w:szCs w:val="18"/>
                <w:lang w:val="en-US" w:eastAsia="zh-CN"/>
              </w:rPr>
              <w:t>土地</w:t>
            </w:r>
          </w:p>
          <w:p>
            <w:pPr>
              <w:spacing w:line="280" w:lineRule="exact"/>
              <w:ind w:left="0" w:firstLine="0"/>
              <w:jc w:val="center"/>
              <w:rPr>
                <w:rFonts w:hint="eastAsia" w:ascii="仿宋" w:hAnsi="仿宋" w:eastAsia="仿宋"/>
                <w:color w:val="auto"/>
                <w:sz w:val="18"/>
                <w:szCs w:val="18"/>
                <w:lang w:val="en-US" w:eastAsia="zh-CN"/>
              </w:rPr>
            </w:pPr>
            <w:r>
              <w:rPr>
                <w:rFonts w:hint="eastAsia" w:ascii="仿宋" w:hAnsi="仿宋" w:eastAsia="仿宋" w:cs="FangSong_GB2312falt"/>
                <w:b/>
                <w:bCs/>
                <w:color w:val="auto"/>
                <w:sz w:val="18"/>
                <w:szCs w:val="18"/>
                <w:lang w:val="en-US" w:eastAsia="zh-CN"/>
              </w:rPr>
              <w:t>用途</w:t>
            </w:r>
          </w:p>
        </w:tc>
        <w:tc>
          <w:tcPr>
            <w:tcW w:w="2811" w:type="dxa"/>
            <w:gridSpan w:val="4"/>
            <w:tcBorders>
              <w:right w:val="single" w:color="auto" w:sz="4" w:space="0"/>
            </w:tcBorders>
          </w:tcPr>
          <w:p>
            <w:pPr>
              <w:pStyle w:val="30"/>
              <w:spacing w:line="240" w:lineRule="exact"/>
              <w:jc w:val="center"/>
              <w:textAlignment w:val="center"/>
              <w:rPr>
                <w:rFonts w:hint="eastAsia" w:ascii="仿宋" w:hAnsi="仿宋" w:eastAsia="仿宋" w:cs="FangSong_GB2312falt"/>
                <w:b/>
                <w:bCs/>
                <w:color w:val="auto"/>
                <w:sz w:val="18"/>
                <w:szCs w:val="18"/>
              </w:rPr>
            </w:pPr>
            <w:r>
              <w:rPr>
                <w:rFonts w:hint="eastAsia" w:ascii="仿宋" w:hAnsi="仿宋" w:eastAsia="仿宋" w:cs="FangSong_GB2312falt"/>
                <w:b/>
                <w:bCs/>
                <w:color w:val="auto"/>
                <w:sz w:val="18"/>
                <w:szCs w:val="18"/>
              </w:rPr>
              <w:t>规划指标要求</w:t>
            </w:r>
          </w:p>
        </w:tc>
        <w:tc>
          <w:tcPr>
            <w:tcW w:w="794" w:type="dxa"/>
            <w:tcBorders>
              <w:left w:val="single" w:color="auto" w:sz="4" w:space="0"/>
              <w:right w:val="single" w:color="auto" w:sz="4" w:space="0"/>
            </w:tcBorders>
            <w:vAlign w:val="center"/>
          </w:tcPr>
          <w:p>
            <w:pPr>
              <w:pStyle w:val="30"/>
              <w:spacing w:line="240" w:lineRule="exact"/>
              <w:jc w:val="center"/>
              <w:textAlignment w:val="center"/>
              <w:rPr>
                <w:rFonts w:hint="eastAsia" w:ascii="仿宋" w:hAnsi="仿宋" w:eastAsia="仿宋" w:cs="FangSong_GB2312falt"/>
                <w:b/>
                <w:bCs/>
                <w:color w:val="auto"/>
                <w:sz w:val="18"/>
                <w:szCs w:val="18"/>
              </w:rPr>
            </w:pPr>
          </w:p>
        </w:tc>
        <w:tc>
          <w:tcPr>
            <w:tcW w:w="630" w:type="dxa"/>
            <w:vMerge w:val="restart"/>
            <w:tcBorders>
              <w:left w:val="single" w:color="auto" w:sz="4" w:space="0"/>
              <w:right w:val="single" w:color="auto" w:sz="4" w:space="0"/>
            </w:tcBorders>
            <w:vAlign w:val="center"/>
          </w:tcPr>
          <w:p>
            <w:pPr>
              <w:pStyle w:val="30"/>
              <w:spacing w:line="240" w:lineRule="exact"/>
              <w:jc w:val="center"/>
              <w:textAlignment w:val="center"/>
              <w:rPr>
                <w:rFonts w:ascii="仿宋" w:hAnsi="仿宋" w:eastAsia="仿宋"/>
                <w:b/>
                <w:bCs/>
                <w:color w:val="auto"/>
                <w:sz w:val="18"/>
                <w:szCs w:val="18"/>
              </w:rPr>
            </w:pPr>
            <w:r>
              <w:rPr>
                <w:rFonts w:hint="eastAsia" w:ascii="仿宋" w:hAnsi="仿宋" w:eastAsia="仿宋" w:cs="FangSong_GB2312falt"/>
                <w:b/>
                <w:bCs/>
                <w:color w:val="auto"/>
                <w:sz w:val="18"/>
                <w:szCs w:val="18"/>
              </w:rPr>
              <w:t>出让</w:t>
            </w:r>
          </w:p>
          <w:p>
            <w:pPr>
              <w:pStyle w:val="30"/>
              <w:spacing w:line="240" w:lineRule="exact"/>
              <w:jc w:val="center"/>
              <w:textAlignment w:val="center"/>
              <w:rPr>
                <w:rFonts w:ascii="仿宋" w:hAnsi="仿宋" w:eastAsia="仿宋"/>
                <w:b/>
                <w:bCs/>
                <w:color w:val="auto"/>
                <w:sz w:val="18"/>
                <w:szCs w:val="18"/>
              </w:rPr>
            </w:pPr>
            <w:r>
              <w:rPr>
                <w:rFonts w:hint="eastAsia" w:ascii="仿宋" w:hAnsi="仿宋" w:eastAsia="仿宋" w:cs="FangSong_GB2312falt"/>
                <w:b/>
                <w:bCs/>
                <w:color w:val="auto"/>
                <w:sz w:val="18"/>
                <w:szCs w:val="18"/>
              </w:rPr>
              <w:t>年限（年）</w:t>
            </w:r>
          </w:p>
        </w:tc>
        <w:tc>
          <w:tcPr>
            <w:tcW w:w="996" w:type="dxa"/>
            <w:vMerge w:val="restart"/>
            <w:tcBorders>
              <w:left w:val="single" w:color="auto" w:sz="4" w:space="0"/>
              <w:right w:val="single" w:color="auto" w:sz="4" w:space="0"/>
            </w:tcBorders>
            <w:vAlign w:val="center"/>
          </w:tcPr>
          <w:p>
            <w:pPr>
              <w:pStyle w:val="30"/>
              <w:spacing w:line="280" w:lineRule="exact"/>
              <w:jc w:val="center"/>
              <w:textAlignment w:val="center"/>
              <w:rPr>
                <w:rFonts w:ascii="仿宋" w:hAnsi="仿宋" w:eastAsia="仿宋"/>
                <w:b/>
                <w:bCs/>
                <w:color w:val="auto"/>
                <w:sz w:val="18"/>
                <w:szCs w:val="18"/>
              </w:rPr>
            </w:pPr>
            <w:r>
              <w:rPr>
                <w:rFonts w:hint="eastAsia" w:ascii="仿宋" w:hAnsi="仿宋" w:eastAsia="仿宋" w:cs="FangSong_GB2312falt"/>
                <w:b/>
                <w:bCs/>
                <w:color w:val="auto"/>
                <w:sz w:val="18"/>
                <w:szCs w:val="18"/>
              </w:rPr>
              <w:t>起挂价</w:t>
            </w:r>
          </w:p>
          <w:p>
            <w:pPr>
              <w:spacing w:line="280" w:lineRule="exact"/>
              <w:ind w:left="0" w:firstLine="0"/>
              <w:jc w:val="center"/>
              <w:rPr>
                <w:rFonts w:ascii="仿宋" w:hAnsi="仿宋" w:eastAsia="仿宋"/>
                <w:b/>
                <w:bCs/>
                <w:color w:val="auto"/>
                <w:sz w:val="18"/>
                <w:szCs w:val="18"/>
              </w:rPr>
            </w:pPr>
            <w:r>
              <w:rPr>
                <w:rFonts w:ascii="仿宋" w:hAnsi="仿宋" w:eastAsia="仿宋" w:cs="FangSong_GB2312falt"/>
                <w:b/>
                <w:bCs/>
                <w:color w:val="auto"/>
                <w:sz w:val="18"/>
                <w:szCs w:val="18"/>
              </w:rPr>
              <w:t>(</w:t>
            </w:r>
            <w:r>
              <w:rPr>
                <w:rFonts w:hint="eastAsia" w:ascii="仿宋" w:hAnsi="仿宋" w:eastAsia="仿宋" w:cs="FangSong_GB2312falt"/>
                <w:b/>
                <w:bCs/>
                <w:color w:val="auto"/>
                <w:sz w:val="18"/>
                <w:szCs w:val="18"/>
              </w:rPr>
              <w:t>万元</w:t>
            </w:r>
            <w:r>
              <w:rPr>
                <w:rFonts w:ascii="仿宋" w:hAnsi="仿宋" w:eastAsia="仿宋" w:cs="FangSong_GB2312falt"/>
                <w:b/>
                <w:bCs/>
                <w:color w:val="auto"/>
                <w:sz w:val="18"/>
                <w:szCs w:val="18"/>
              </w:rPr>
              <w:t>)</w:t>
            </w:r>
          </w:p>
        </w:tc>
        <w:tc>
          <w:tcPr>
            <w:tcW w:w="996" w:type="dxa"/>
            <w:vMerge w:val="restart"/>
            <w:tcBorders>
              <w:left w:val="single" w:color="auto" w:sz="4" w:space="0"/>
              <w:right w:val="single" w:color="auto" w:sz="4" w:space="0"/>
            </w:tcBorders>
            <w:vAlign w:val="center"/>
          </w:tcPr>
          <w:p>
            <w:pPr>
              <w:pStyle w:val="30"/>
              <w:spacing w:line="280" w:lineRule="exact"/>
              <w:jc w:val="center"/>
              <w:textAlignment w:val="center"/>
              <w:rPr>
                <w:rFonts w:ascii="仿宋" w:hAnsi="仿宋" w:eastAsia="仿宋"/>
                <w:b/>
                <w:bCs/>
                <w:color w:val="auto"/>
                <w:sz w:val="18"/>
                <w:szCs w:val="18"/>
              </w:rPr>
            </w:pPr>
            <w:r>
              <w:rPr>
                <w:rFonts w:hint="eastAsia" w:ascii="仿宋" w:hAnsi="仿宋" w:eastAsia="仿宋" w:cs="FangSong_GB2312falt"/>
                <w:b/>
                <w:bCs/>
                <w:color w:val="auto"/>
                <w:sz w:val="18"/>
                <w:szCs w:val="18"/>
              </w:rPr>
              <w:t>保证金</w:t>
            </w:r>
          </w:p>
          <w:p>
            <w:pPr>
              <w:spacing w:line="280" w:lineRule="exact"/>
              <w:ind w:left="0" w:firstLine="0"/>
              <w:jc w:val="center"/>
              <w:rPr>
                <w:rFonts w:ascii="仿宋" w:hAnsi="仿宋" w:eastAsia="仿宋"/>
                <w:b/>
                <w:bCs/>
                <w:color w:val="auto"/>
                <w:sz w:val="18"/>
                <w:szCs w:val="18"/>
              </w:rPr>
            </w:pPr>
            <w:r>
              <w:rPr>
                <w:rFonts w:ascii="仿宋" w:hAnsi="仿宋" w:eastAsia="仿宋" w:cs="FangSong_GB2312falt"/>
                <w:b/>
                <w:bCs/>
                <w:color w:val="auto"/>
                <w:sz w:val="18"/>
                <w:szCs w:val="18"/>
              </w:rPr>
              <w:t>(</w:t>
            </w:r>
            <w:r>
              <w:rPr>
                <w:rFonts w:hint="eastAsia" w:ascii="仿宋" w:hAnsi="仿宋" w:eastAsia="仿宋" w:cs="FangSong_GB2312falt"/>
                <w:b/>
                <w:bCs/>
                <w:color w:val="auto"/>
                <w:sz w:val="18"/>
                <w:szCs w:val="18"/>
              </w:rPr>
              <w:t>万元</w:t>
            </w:r>
            <w:r>
              <w:rPr>
                <w:rFonts w:ascii="仿宋" w:hAnsi="仿宋" w:eastAsia="仿宋" w:cs="FangSong_GB2312falt"/>
                <w:b/>
                <w:bCs/>
                <w:color w:val="auto"/>
                <w:sz w:val="18"/>
                <w:szCs w:val="18"/>
              </w:rPr>
              <w:t>)</w:t>
            </w:r>
          </w:p>
        </w:tc>
        <w:tc>
          <w:tcPr>
            <w:tcW w:w="1646" w:type="dxa"/>
            <w:vMerge w:val="restart"/>
            <w:tcBorders>
              <w:left w:val="single" w:color="auto" w:sz="4" w:space="0"/>
              <w:right w:val="single" w:color="auto" w:sz="4" w:space="0"/>
            </w:tcBorders>
            <w:vAlign w:val="center"/>
          </w:tcPr>
          <w:p>
            <w:pPr>
              <w:spacing w:line="280" w:lineRule="exact"/>
              <w:ind w:left="0" w:firstLine="0"/>
              <w:jc w:val="center"/>
              <w:rPr>
                <w:rFonts w:ascii="仿宋" w:hAnsi="仿宋" w:eastAsia="仿宋"/>
                <w:b/>
                <w:bCs/>
                <w:color w:val="auto"/>
                <w:sz w:val="18"/>
                <w:szCs w:val="18"/>
              </w:rPr>
            </w:pPr>
            <w:r>
              <w:rPr>
                <w:rFonts w:hint="eastAsia" w:ascii="仿宋" w:hAnsi="仿宋" w:eastAsia="仿宋" w:cs="FangSong_GB2312falt"/>
                <w:b/>
                <w:bCs/>
                <w:color w:val="auto"/>
                <w:sz w:val="18"/>
                <w:szCs w:val="18"/>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exact"/>
          <w:jc w:val="center"/>
        </w:trPr>
        <w:tc>
          <w:tcPr>
            <w:tcW w:w="262" w:type="dxa"/>
            <w:vMerge w:val="continue"/>
            <w:vAlign w:val="center"/>
          </w:tcPr>
          <w:p>
            <w:pPr>
              <w:spacing w:line="280" w:lineRule="exact"/>
              <w:ind w:left="0" w:firstLine="0"/>
              <w:jc w:val="center"/>
              <w:rPr>
                <w:rFonts w:ascii="仿宋" w:hAnsi="仿宋" w:eastAsia="仿宋"/>
                <w:color w:val="auto"/>
                <w:sz w:val="18"/>
                <w:szCs w:val="18"/>
              </w:rPr>
            </w:pPr>
          </w:p>
        </w:tc>
        <w:tc>
          <w:tcPr>
            <w:tcW w:w="742" w:type="dxa"/>
            <w:vMerge w:val="continue"/>
            <w:vAlign w:val="center"/>
          </w:tcPr>
          <w:p>
            <w:pPr>
              <w:spacing w:line="280" w:lineRule="exact"/>
              <w:ind w:left="0" w:firstLine="0"/>
              <w:jc w:val="center"/>
              <w:rPr>
                <w:rFonts w:ascii="仿宋" w:hAnsi="仿宋" w:eastAsia="仿宋"/>
                <w:color w:val="auto"/>
                <w:sz w:val="18"/>
                <w:szCs w:val="18"/>
              </w:rPr>
            </w:pPr>
          </w:p>
        </w:tc>
        <w:tc>
          <w:tcPr>
            <w:tcW w:w="883" w:type="dxa"/>
            <w:vMerge w:val="continue"/>
            <w:vAlign w:val="center"/>
          </w:tcPr>
          <w:p>
            <w:pPr>
              <w:spacing w:line="300" w:lineRule="exact"/>
              <w:ind w:left="0" w:firstLine="0"/>
              <w:jc w:val="center"/>
              <w:rPr>
                <w:rFonts w:hint="eastAsia" w:ascii="仿宋" w:hAnsi="仿宋" w:eastAsia="仿宋"/>
                <w:color w:val="auto"/>
                <w:sz w:val="18"/>
                <w:szCs w:val="18"/>
              </w:rPr>
            </w:pPr>
          </w:p>
        </w:tc>
        <w:tc>
          <w:tcPr>
            <w:tcW w:w="1059" w:type="dxa"/>
            <w:vMerge w:val="continue"/>
            <w:vAlign w:val="center"/>
          </w:tcPr>
          <w:p>
            <w:pPr>
              <w:spacing w:line="280" w:lineRule="exact"/>
              <w:ind w:left="0" w:firstLine="0"/>
              <w:jc w:val="center"/>
              <w:rPr>
                <w:rFonts w:ascii="仿宋" w:hAnsi="仿宋" w:eastAsia="仿宋"/>
                <w:b/>
                <w:bCs/>
                <w:color w:val="auto"/>
                <w:sz w:val="18"/>
                <w:szCs w:val="18"/>
              </w:rPr>
            </w:pPr>
          </w:p>
        </w:tc>
        <w:tc>
          <w:tcPr>
            <w:tcW w:w="655" w:type="dxa"/>
            <w:vMerge w:val="continue"/>
            <w:vAlign w:val="center"/>
          </w:tcPr>
          <w:p>
            <w:pPr>
              <w:spacing w:line="300" w:lineRule="exact"/>
              <w:ind w:left="0" w:firstLine="0"/>
              <w:jc w:val="center"/>
              <w:rPr>
                <w:rFonts w:hint="eastAsia" w:ascii="仿宋" w:hAnsi="仿宋" w:eastAsia="仿宋"/>
                <w:color w:val="auto"/>
                <w:sz w:val="18"/>
                <w:szCs w:val="18"/>
                <w:lang w:val="en-US" w:eastAsia="zh-CN"/>
              </w:rPr>
            </w:pPr>
          </w:p>
        </w:tc>
        <w:tc>
          <w:tcPr>
            <w:tcW w:w="618" w:type="dxa"/>
            <w:vAlign w:val="center"/>
          </w:tcPr>
          <w:p>
            <w:pPr>
              <w:spacing w:line="240" w:lineRule="exact"/>
              <w:ind w:left="0" w:firstLine="0"/>
              <w:jc w:val="center"/>
              <w:rPr>
                <w:rFonts w:ascii="仿宋" w:hAnsi="仿宋" w:eastAsia="仿宋"/>
                <w:b/>
                <w:bCs/>
                <w:color w:val="auto"/>
                <w:sz w:val="18"/>
                <w:szCs w:val="18"/>
              </w:rPr>
            </w:pPr>
            <w:r>
              <w:rPr>
                <w:rFonts w:hint="eastAsia" w:ascii="仿宋" w:hAnsi="仿宋" w:eastAsia="仿宋" w:cs="FangSong_GB2312falt"/>
                <w:b/>
                <w:bCs/>
                <w:color w:val="auto"/>
                <w:sz w:val="18"/>
                <w:szCs w:val="18"/>
              </w:rPr>
              <w:t>容积率</w:t>
            </w:r>
          </w:p>
        </w:tc>
        <w:tc>
          <w:tcPr>
            <w:tcW w:w="756" w:type="dxa"/>
            <w:vAlign w:val="center"/>
          </w:tcPr>
          <w:p>
            <w:pPr>
              <w:pStyle w:val="30"/>
              <w:spacing w:line="240" w:lineRule="exact"/>
              <w:jc w:val="center"/>
              <w:textAlignment w:val="center"/>
              <w:rPr>
                <w:rFonts w:ascii="仿宋" w:hAnsi="仿宋" w:eastAsia="仿宋" w:cs="FangSong_GB2312falt"/>
                <w:b/>
                <w:bCs/>
                <w:color w:val="auto"/>
                <w:sz w:val="18"/>
                <w:szCs w:val="18"/>
              </w:rPr>
            </w:pPr>
            <w:r>
              <w:rPr>
                <w:rFonts w:hint="eastAsia" w:ascii="仿宋" w:hAnsi="仿宋" w:eastAsia="仿宋"/>
                <w:b/>
                <w:color w:val="auto"/>
                <w:sz w:val="18"/>
                <w:szCs w:val="18"/>
              </w:rPr>
              <w:t>建筑限高</w:t>
            </w:r>
          </w:p>
        </w:tc>
        <w:tc>
          <w:tcPr>
            <w:tcW w:w="630" w:type="dxa"/>
            <w:vAlign w:val="center"/>
          </w:tcPr>
          <w:p>
            <w:pPr>
              <w:pStyle w:val="30"/>
              <w:spacing w:line="240" w:lineRule="exact"/>
              <w:jc w:val="center"/>
              <w:textAlignment w:val="center"/>
              <w:rPr>
                <w:rFonts w:hint="eastAsia" w:ascii="仿宋" w:hAnsi="仿宋" w:eastAsia="仿宋" w:cs="FangSong_GB2312falt"/>
                <w:b/>
                <w:bCs/>
                <w:color w:val="auto"/>
                <w:sz w:val="18"/>
                <w:szCs w:val="18"/>
                <w:lang w:val="en-US" w:eastAsia="zh-CN"/>
              </w:rPr>
            </w:pPr>
            <w:r>
              <w:rPr>
                <w:rFonts w:hint="eastAsia" w:ascii="仿宋" w:hAnsi="仿宋" w:eastAsia="仿宋" w:cs="FangSong_GB2312falt"/>
                <w:b/>
                <w:bCs/>
                <w:color w:val="auto"/>
                <w:sz w:val="18"/>
                <w:szCs w:val="18"/>
              </w:rPr>
              <w:t>建筑</w:t>
            </w:r>
            <w:r>
              <w:rPr>
                <w:rFonts w:hint="eastAsia" w:ascii="仿宋" w:hAnsi="仿宋" w:eastAsia="仿宋" w:cs="FangSong_GB2312falt"/>
                <w:b/>
                <w:bCs/>
                <w:color w:val="auto"/>
                <w:sz w:val="18"/>
                <w:szCs w:val="18"/>
                <w:lang w:eastAsia="zh-CN"/>
              </w:rPr>
              <w:t>系数</w:t>
            </w:r>
          </w:p>
        </w:tc>
        <w:tc>
          <w:tcPr>
            <w:tcW w:w="807" w:type="dxa"/>
            <w:tcBorders>
              <w:right w:val="single" w:color="auto" w:sz="4" w:space="0"/>
            </w:tcBorders>
            <w:vAlign w:val="center"/>
          </w:tcPr>
          <w:p>
            <w:pPr>
              <w:pStyle w:val="30"/>
              <w:spacing w:line="240" w:lineRule="exact"/>
              <w:jc w:val="center"/>
              <w:textAlignment w:val="center"/>
              <w:rPr>
                <w:rFonts w:hint="eastAsia" w:ascii="仿宋" w:hAnsi="仿宋" w:eastAsia="仿宋" w:cs="FangSong_GB2312falt"/>
                <w:b/>
                <w:bCs/>
                <w:color w:val="auto"/>
                <w:sz w:val="18"/>
                <w:szCs w:val="18"/>
                <w:lang w:val="en-US" w:eastAsia="zh-CN"/>
              </w:rPr>
            </w:pPr>
            <w:r>
              <w:rPr>
                <w:rFonts w:hint="eastAsia" w:ascii="仿宋" w:hAnsi="仿宋" w:eastAsia="仿宋" w:cs="FangSong_GB2312falt"/>
                <w:b/>
                <w:bCs/>
                <w:color w:val="auto"/>
                <w:sz w:val="18"/>
                <w:szCs w:val="18"/>
              </w:rPr>
              <w:t>绿地率</w:t>
            </w:r>
          </w:p>
        </w:tc>
        <w:tc>
          <w:tcPr>
            <w:tcW w:w="794" w:type="dxa"/>
            <w:tcBorders>
              <w:left w:val="single" w:color="auto" w:sz="4" w:space="0"/>
              <w:right w:val="single" w:color="auto" w:sz="4" w:space="0"/>
            </w:tcBorders>
            <w:vAlign w:val="center"/>
          </w:tcPr>
          <w:p>
            <w:pPr>
              <w:pStyle w:val="30"/>
              <w:spacing w:line="240" w:lineRule="exact"/>
              <w:jc w:val="center"/>
              <w:rPr>
                <w:rFonts w:hint="eastAsia" w:ascii="仿宋" w:hAnsi="仿宋" w:eastAsia="仿宋"/>
                <w:b/>
                <w:bCs/>
                <w:color w:val="auto"/>
                <w:sz w:val="18"/>
                <w:szCs w:val="18"/>
                <w:lang w:eastAsia="zh-CN"/>
              </w:rPr>
            </w:pPr>
            <w:r>
              <w:rPr>
                <w:rFonts w:hint="eastAsia" w:ascii="仿宋" w:hAnsi="仿宋" w:eastAsia="仿宋"/>
                <w:b/>
                <w:bCs/>
                <w:color w:val="auto"/>
                <w:sz w:val="18"/>
                <w:szCs w:val="18"/>
                <w:lang w:eastAsia="zh-CN"/>
              </w:rPr>
              <w:t>投资强度</w:t>
            </w:r>
          </w:p>
        </w:tc>
        <w:tc>
          <w:tcPr>
            <w:tcW w:w="630" w:type="dxa"/>
            <w:vMerge w:val="continue"/>
            <w:tcBorders>
              <w:left w:val="single" w:color="auto" w:sz="4" w:space="0"/>
              <w:right w:val="single" w:color="auto" w:sz="4" w:space="0"/>
            </w:tcBorders>
            <w:vAlign w:val="center"/>
          </w:tcPr>
          <w:p>
            <w:pPr>
              <w:pStyle w:val="30"/>
              <w:spacing w:line="240" w:lineRule="exact"/>
              <w:jc w:val="center"/>
              <w:rPr>
                <w:rFonts w:ascii="仿宋" w:hAnsi="仿宋" w:eastAsia="仿宋"/>
                <w:b/>
                <w:bCs/>
                <w:color w:val="auto"/>
                <w:sz w:val="18"/>
                <w:szCs w:val="18"/>
              </w:rPr>
            </w:pPr>
          </w:p>
        </w:tc>
        <w:tc>
          <w:tcPr>
            <w:tcW w:w="996" w:type="dxa"/>
            <w:vMerge w:val="continue"/>
            <w:tcBorders>
              <w:left w:val="single" w:color="auto" w:sz="4" w:space="0"/>
              <w:right w:val="single" w:color="auto" w:sz="4" w:space="0"/>
            </w:tcBorders>
            <w:vAlign w:val="center"/>
          </w:tcPr>
          <w:p>
            <w:pPr>
              <w:spacing w:line="280" w:lineRule="exact"/>
              <w:ind w:left="0" w:firstLine="0"/>
              <w:jc w:val="center"/>
              <w:rPr>
                <w:rFonts w:ascii="仿宋" w:hAnsi="仿宋" w:eastAsia="仿宋"/>
                <w:color w:val="auto"/>
                <w:sz w:val="18"/>
                <w:szCs w:val="18"/>
              </w:rPr>
            </w:pPr>
          </w:p>
        </w:tc>
        <w:tc>
          <w:tcPr>
            <w:tcW w:w="996" w:type="dxa"/>
            <w:vMerge w:val="continue"/>
            <w:tcBorders>
              <w:left w:val="single" w:color="auto" w:sz="4" w:space="0"/>
              <w:right w:val="single" w:color="auto" w:sz="4" w:space="0"/>
            </w:tcBorders>
            <w:vAlign w:val="center"/>
          </w:tcPr>
          <w:p>
            <w:pPr>
              <w:spacing w:line="280" w:lineRule="exact"/>
              <w:ind w:left="0" w:firstLine="0"/>
              <w:jc w:val="center"/>
              <w:rPr>
                <w:rFonts w:ascii="仿宋" w:hAnsi="仿宋" w:eastAsia="仿宋"/>
                <w:color w:val="auto"/>
                <w:sz w:val="18"/>
                <w:szCs w:val="18"/>
              </w:rPr>
            </w:pPr>
          </w:p>
        </w:tc>
        <w:tc>
          <w:tcPr>
            <w:tcW w:w="1646" w:type="dxa"/>
            <w:vMerge w:val="continue"/>
            <w:tcBorders>
              <w:left w:val="single" w:color="auto" w:sz="4" w:space="0"/>
              <w:bottom w:val="single" w:color="auto" w:sz="4" w:space="0"/>
              <w:right w:val="single" w:color="auto" w:sz="4" w:space="0"/>
            </w:tcBorders>
            <w:vAlign w:val="center"/>
          </w:tcPr>
          <w:p>
            <w:pPr>
              <w:spacing w:line="280" w:lineRule="exact"/>
              <w:ind w:left="0" w:firstLine="0"/>
              <w:jc w:val="center"/>
              <w:rPr>
                <w:rFonts w:ascii="仿宋" w:hAnsi="仿宋" w:eastAsia="仿宋"/>
                <w:color w:val="auto"/>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2" w:hRule="atLeast"/>
          <w:jc w:val="center"/>
        </w:trPr>
        <w:tc>
          <w:tcPr>
            <w:tcW w:w="262" w:type="dxa"/>
            <w:vAlign w:val="center"/>
          </w:tcPr>
          <w:p>
            <w:pPr>
              <w:pStyle w:val="30"/>
              <w:rPr>
                <w:rFonts w:hint="default" w:ascii="仿宋" w:hAnsi="仿宋" w:eastAsia="仿宋"/>
                <w:color w:val="auto"/>
                <w:lang w:val="en-US" w:eastAsia="zh-CN"/>
              </w:rPr>
            </w:pPr>
            <w:r>
              <w:rPr>
                <w:rFonts w:hint="eastAsia" w:ascii="仿宋" w:hAnsi="仿宋" w:eastAsia="仿宋"/>
                <w:color w:val="auto"/>
                <w:lang w:val="en-US" w:eastAsia="zh-CN"/>
              </w:rPr>
              <w:t>1</w:t>
            </w:r>
          </w:p>
        </w:tc>
        <w:tc>
          <w:tcPr>
            <w:tcW w:w="742" w:type="dxa"/>
            <w:vAlign w:val="center"/>
          </w:tcPr>
          <w:p>
            <w:pPr>
              <w:spacing w:line="300" w:lineRule="exact"/>
              <w:ind w:left="0" w:leftChars="0" w:firstLine="0" w:firstLineChars="0"/>
              <w:jc w:val="center"/>
              <w:rPr>
                <w:rFonts w:hint="default" w:ascii="仿宋_GB2312" w:hAnsi="宋体" w:eastAsia="仿宋_GB2312" w:cs="宋体"/>
                <w:color w:val="auto"/>
                <w:kern w:val="0"/>
                <w:szCs w:val="21"/>
                <w:lang w:val="en-US"/>
              </w:rPr>
            </w:pPr>
            <w:r>
              <w:rPr>
                <w:rFonts w:hint="eastAsia" w:ascii="仿宋_GB2312" w:hAnsi="宋体" w:eastAsia="仿宋_GB2312" w:cs="宋体"/>
                <w:color w:val="auto"/>
                <w:kern w:val="0"/>
                <w:szCs w:val="21"/>
              </w:rPr>
              <w:t>202</w:t>
            </w:r>
            <w:r>
              <w:rPr>
                <w:rFonts w:hint="eastAsia" w:ascii="仿宋_GB2312" w:hAnsi="宋体" w:eastAsia="仿宋_GB2312" w:cs="宋体"/>
                <w:color w:val="auto"/>
                <w:kern w:val="0"/>
                <w:szCs w:val="21"/>
                <w:lang w:val="en-US" w:eastAsia="zh-CN"/>
              </w:rPr>
              <w:t>3</w:t>
            </w:r>
            <w:r>
              <w:rPr>
                <w:rFonts w:hint="eastAsia" w:ascii="仿宋_GB2312" w:hAnsi="宋体" w:eastAsia="仿宋_GB2312" w:cs="宋体"/>
                <w:color w:val="auto"/>
                <w:kern w:val="0"/>
                <w:szCs w:val="21"/>
              </w:rPr>
              <w:t>G</w:t>
            </w:r>
            <w:r>
              <w:rPr>
                <w:rFonts w:hint="eastAsia" w:ascii="仿宋_GB2312" w:hAnsi="宋体" w:eastAsia="仿宋_GB2312" w:cs="宋体"/>
                <w:color w:val="auto"/>
                <w:kern w:val="0"/>
                <w:szCs w:val="21"/>
                <w:lang w:val="en-US" w:eastAsia="zh-CN"/>
              </w:rPr>
              <w:t>A-41-01</w:t>
            </w:r>
          </w:p>
        </w:tc>
        <w:tc>
          <w:tcPr>
            <w:tcW w:w="883"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海勃湾区千里山工业园区（海勃湾区）</w:t>
            </w:r>
          </w:p>
        </w:tc>
        <w:tc>
          <w:tcPr>
            <w:tcW w:w="1059" w:type="dxa"/>
            <w:vAlign w:val="center"/>
          </w:tcPr>
          <w:p>
            <w:pPr>
              <w:spacing w:line="300" w:lineRule="exact"/>
              <w:ind w:left="0" w:leftChars="0" w:firstLine="0" w:firstLineChars="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56915.84平方米（约85.37亩）</w:t>
            </w:r>
          </w:p>
        </w:tc>
        <w:tc>
          <w:tcPr>
            <w:tcW w:w="655"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工业用地</w:t>
            </w:r>
          </w:p>
        </w:tc>
        <w:tc>
          <w:tcPr>
            <w:tcW w:w="618"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≥0.7</w:t>
            </w:r>
          </w:p>
        </w:tc>
        <w:tc>
          <w:tcPr>
            <w:tcW w:w="756"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≤20米</w:t>
            </w:r>
          </w:p>
        </w:tc>
        <w:tc>
          <w:tcPr>
            <w:tcW w:w="630" w:type="dxa"/>
            <w:vAlign w:val="top"/>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p>
          <w:p>
            <w:pPr>
              <w:spacing w:line="300" w:lineRule="exact"/>
              <w:ind w:left="0" w:leftChars="0" w:firstLine="0" w:firstLineChars="0"/>
              <w:jc w:val="both"/>
              <w:rPr>
                <w:rFonts w:hint="eastAsia" w:ascii="仿宋_GB2312" w:hAnsi="宋体" w:eastAsia="仿宋_GB2312" w:cs="宋体"/>
                <w:color w:val="auto"/>
                <w:kern w:val="0"/>
                <w:sz w:val="21"/>
                <w:szCs w:val="21"/>
                <w:lang w:val="en-US" w:eastAsia="zh-CN" w:bidi="ar-SA"/>
              </w:rPr>
            </w:pPr>
          </w:p>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≥30%</w:t>
            </w:r>
          </w:p>
        </w:tc>
        <w:tc>
          <w:tcPr>
            <w:tcW w:w="807" w:type="dxa"/>
            <w:tcBorders>
              <w:top w:val="single" w:color="auto" w:sz="4" w:space="0"/>
              <w:bottom w:val="single" w:color="auto" w:sz="4" w:space="0"/>
            </w:tcBorders>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≤20%</w:t>
            </w:r>
          </w:p>
        </w:tc>
        <w:tc>
          <w:tcPr>
            <w:tcW w:w="794"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highlight w:val="none"/>
                <w:lang w:val="en-US" w:eastAsia="zh-CN" w:bidi="ar-SA"/>
              </w:rPr>
              <w:t>≥287万元/亩</w:t>
            </w:r>
          </w:p>
        </w:tc>
        <w:tc>
          <w:tcPr>
            <w:tcW w:w="630"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50年</w:t>
            </w:r>
          </w:p>
        </w:tc>
        <w:tc>
          <w:tcPr>
            <w:tcW w:w="996"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546.3921</w:t>
            </w:r>
          </w:p>
        </w:tc>
        <w:tc>
          <w:tcPr>
            <w:tcW w:w="996"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546.3921</w:t>
            </w:r>
          </w:p>
        </w:tc>
        <w:tc>
          <w:tcPr>
            <w:tcW w:w="1646" w:type="dxa"/>
            <w:vAlign w:val="center"/>
          </w:tcPr>
          <w:p>
            <w:pPr>
              <w:spacing w:line="300" w:lineRule="exact"/>
              <w:ind w:left="0" w:leftChars="0" w:firstLine="0" w:firstLineChars="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地块的面积、规划方案等均以乌海市国土空间规划委员会最终批准方案为准。</w:t>
            </w:r>
          </w:p>
        </w:tc>
      </w:tr>
    </w:tbl>
    <w:p>
      <w:pPr>
        <w:tabs>
          <w:tab w:val="left" w:pos="7350"/>
        </w:tabs>
        <w:spacing w:line="560" w:lineRule="exact"/>
        <w:ind w:left="0" w:leftChars="0" w:firstLine="640" w:firstLineChars="200"/>
        <w:textAlignment w:val="baseline"/>
        <w:rPr>
          <w:rFonts w:ascii="仿宋" w:hAnsi="仿宋" w:eastAsia="仿宋" w:cs="FangSong_GB2312"/>
          <w:color w:val="auto"/>
          <w:sz w:val="32"/>
          <w:szCs w:val="32"/>
        </w:rPr>
      </w:pPr>
      <w:r>
        <w:rPr>
          <w:rFonts w:hint="eastAsia" w:ascii="仿宋" w:hAnsi="仿宋" w:eastAsia="仿宋" w:cs="FangSong_GB2312"/>
          <w:color w:val="auto"/>
          <w:sz w:val="32"/>
          <w:szCs w:val="32"/>
        </w:rPr>
        <w:t>二、中华人民共和国境内外的法人、自然人和其他组织，除法律法规对申请人另有限制外，均可申请参加。本次挂牌不接受联合申请。</w:t>
      </w:r>
    </w:p>
    <w:p>
      <w:pPr>
        <w:tabs>
          <w:tab w:val="left" w:pos="7350"/>
        </w:tabs>
        <w:spacing w:line="560" w:lineRule="exact"/>
        <w:ind w:left="0" w:firstLine="640" w:firstLineChars="200"/>
        <w:textAlignment w:val="baseline"/>
        <w:rPr>
          <w:rFonts w:ascii="仿宋" w:hAnsi="仿宋" w:eastAsia="仿宋" w:cs="FangSong_GB2312"/>
          <w:color w:val="auto"/>
          <w:sz w:val="32"/>
          <w:szCs w:val="32"/>
        </w:rPr>
      </w:pPr>
      <w:r>
        <w:rPr>
          <w:rFonts w:hint="eastAsia" w:ascii="仿宋" w:hAnsi="仿宋" w:eastAsia="仿宋" w:cs="FangSong_GB2312"/>
          <w:color w:val="auto"/>
          <w:sz w:val="32"/>
          <w:szCs w:val="32"/>
        </w:rPr>
        <w:t>工业项目用地，竞得人在项目审批时，除满足《工业项目建设用地控制指标》的要求外，还必须遵守城市规划、环境保护等法律法规，并符合国家的产业政策。</w:t>
      </w:r>
    </w:p>
    <w:p>
      <w:pPr>
        <w:tabs>
          <w:tab w:val="left" w:pos="7350"/>
        </w:tabs>
        <w:spacing w:line="560" w:lineRule="exact"/>
        <w:ind w:left="0" w:firstLine="640" w:firstLineChars="200"/>
        <w:textAlignment w:val="baseline"/>
        <w:rPr>
          <w:rFonts w:ascii="仿宋" w:hAnsi="仿宋" w:eastAsia="仿宋"/>
          <w:color w:val="auto"/>
          <w:sz w:val="32"/>
          <w:szCs w:val="32"/>
        </w:rPr>
      </w:pPr>
      <w:r>
        <w:rPr>
          <w:rFonts w:hint="eastAsia" w:ascii="仿宋" w:hAnsi="仿宋" w:eastAsia="仿宋"/>
          <w:color w:val="auto"/>
          <w:sz w:val="32"/>
          <w:szCs w:val="32"/>
        </w:rPr>
        <w:t>房地产开发用地，申请竞买者须提交保证金不属于银行贷款、股东借款、转贷和募集资金的承诺书及商业金融机构的资信证明。</w:t>
      </w:r>
    </w:p>
    <w:p>
      <w:pPr>
        <w:tabs>
          <w:tab w:val="left" w:pos="7350"/>
        </w:tabs>
        <w:spacing w:line="560" w:lineRule="exact"/>
        <w:ind w:left="0" w:firstLine="640" w:firstLineChars="200"/>
        <w:textAlignment w:val="baseline"/>
        <w:rPr>
          <w:rFonts w:ascii="仿宋" w:hAnsi="仿宋" w:eastAsia="仿宋" w:cs="FangSong_GB2312"/>
          <w:color w:val="auto"/>
          <w:sz w:val="32"/>
          <w:szCs w:val="32"/>
        </w:rPr>
      </w:pPr>
      <w:r>
        <w:rPr>
          <w:rFonts w:hint="eastAsia" w:ascii="仿宋" w:hAnsi="仿宋" w:eastAsia="仿宋" w:cs="FangSong_GB2312"/>
          <w:color w:val="auto"/>
          <w:sz w:val="32"/>
          <w:szCs w:val="32"/>
        </w:rPr>
        <w:t>三、</w:t>
      </w:r>
      <w:r>
        <w:rPr>
          <w:rStyle w:val="17"/>
          <w:rFonts w:hint="eastAsia" w:ascii="仿宋" w:hAnsi="仿宋" w:eastAsia="仿宋"/>
          <w:b w:val="0"/>
          <w:color w:val="auto"/>
          <w:sz w:val="32"/>
          <w:szCs w:val="32"/>
          <w:shd w:val="clear" w:color="auto" w:fill="FFFFFF"/>
        </w:rPr>
        <w:t>竞价原则</w:t>
      </w:r>
    </w:p>
    <w:p>
      <w:pPr>
        <w:tabs>
          <w:tab w:val="left" w:pos="7350"/>
        </w:tabs>
        <w:spacing w:line="560" w:lineRule="exact"/>
        <w:ind w:left="0" w:firstLine="640" w:firstLineChars="200"/>
        <w:textAlignment w:val="baseline"/>
        <w:rPr>
          <w:rFonts w:ascii="仿宋" w:hAnsi="仿宋" w:eastAsia="仿宋"/>
          <w:color w:val="auto"/>
          <w:sz w:val="32"/>
          <w:szCs w:val="32"/>
        </w:rPr>
      </w:pPr>
      <w:r>
        <w:rPr>
          <w:rFonts w:hint="eastAsia" w:ascii="仿宋" w:hAnsi="仿宋" w:eastAsia="仿宋"/>
          <w:bCs/>
          <w:color w:val="auto"/>
          <w:sz w:val="32"/>
          <w:szCs w:val="32"/>
        </w:rPr>
        <w:t>本次国有建设用地使用权挂牌出让按照价高者得原则确定竞得人。</w:t>
      </w:r>
    </w:p>
    <w:p>
      <w:pPr>
        <w:spacing w:line="560" w:lineRule="exact"/>
        <w:ind w:left="0" w:firstLine="640" w:firstLineChars="200"/>
        <w:textAlignment w:val="baseline"/>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auto"/>
          <w:sz w:val="32"/>
          <w:szCs w:val="32"/>
        </w:rPr>
        <w:t>四、本次挂牌出让的公告时间为</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8</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17</w:t>
      </w:r>
      <w:r>
        <w:rPr>
          <w:rFonts w:hint="eastAsia" w:ascii="仿宋" w:hAnsi="仿宋" w:eastAsia="仿宋" w:cs="FangSong_GB2312"/>
          <w:color w:val="auto"/>
          <w:sz w:val="32"/>
          <w:szCs w:val="32"/>
          <w:highlight w:val="none"/>
        </w:rPr>
        <w:t>日至</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9</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5</w:t>
      </w:r>
      <w:r>
        <w:rPr>
          <w:rFonts w:hint="eastAsia" w:ascii="仿宋" w:hAnsi="仿宋" w:eastAsia="仿宋" w:cs="FangSong_GB2312"/>
          <w:color w:val="auto"/>
          <w:sz w:val="32"/>
          <w:szCs w:val="32"/>
          <w:highlight w:val="none"/>
        </w:rPr>
        <w:t>日</w:t>
      </w:r>
      <w:r>
        <w:rPr>
          <w:rFonts w:hint="eastAsia" w:ascii="仿宋" w:hAnsi="仿宋" w:eastAsia="仿宋" w:cs="FangSong_GB2312"/>
          <w:color w:val="auto"/>
          <w:sz w:val="32"/>
          <w:szCs w:val="32"/>
          <w:highlight w:val="none"/>
        </w:rPr>
        <w:t>，详细资料和具体要求，以挂牌出让文件为准。申请人可于</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8</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17</w:t>
      </w:r>
      <w:r>
        <w:rPr>
          <w:rFonts w:hint="eastAsia" w:ascii="仿宋" w:hAnsi="仿宋" w:eastAsia="仿宋" w:cs="FangSong_GB2312"/>
          <w:color w:val="auto"/>
          <w:sz w:val="32"/>
          <w:szCs w:val="32"/>
          <w:highlight w:val="none"/>
        </w:rPr>
        <w:t>日至</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9</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14</w:t>
      </w:r>
      <w:r>
        <w:rPr>
          <w:rFonts w:hint="eastAsia" w:ascii="仿宋" w:hAnsi="仿宋" w:eastAsia="仿宋" w:cs="FangSong_GB2312"/>
          <w:color w:val="auto"/>
          <w:sz w:val="32"/>
          <w:szCs w:val="32"/>
          <w:highlight w:val="none"/>
        </w:rPr>
        <w:t>日</w:t>
      </w:r>
      <w:r>
        <w:rPr>
          <w:rFonts w:hint="eastAsia" w:ascii="仿宋" w:hAnsi="仿宋" w:eastAsia="仿宋" w:cs="FangSong_GB2312"/>
          <w:color w:val="auto"/>
          <w:sz w:val="32"/>
          <w:szCs w:val="32"/>
        </w:rPr>
        <w:t>到乌海市公共资源交易中心或登陆网</w:t>
      </w:r>
      <w:r>
        <w:rPr>
          <w:rFonts w:hint="eastAsia" w:ascii="仿宋" w:hAnsi="仿宋" w:eastAsia="仿宋" w:cs="FangSong_GB2312"/>
          <w:color w:val="000000" w:themeColor="text1"/>
          <w:sz w:val="32"/>
          <w:szCs w:val="32"/>
          <w14:textFill>
            <w14:solidFill>
              <w14:schemeClr w14:val="tx1"/>
            </w14:solidFill>
          </w14:textFill>
        </w:rPr>
        <w:t>站（</w:t>
      </w:r>
      <w:r>
        <w:rPr>
          <w:rFonts w:ascii="仿宋" w:hAnsi="仿宋" w:eastAsia="仿宋" w:cs="FangSong_GB2312"/>
          <w:color w:val="000000" w:themeColor="text1"/>
          <w:sz w:val="32"/>
          <w:szCs w:val="32"/>
          <w14:textFill>
            <w14:solidFill>
              <w14:schemeClr w14:val="tx1"/>
            </w14:solidFill>
          </w14:textFill>
        </w:rPr>
        <w:t>http:// zrzy.wuhai.gov.cn/</w:t>
      </w:r>
      <w:r>
        <w:rPr>
          <w:rFonts w:hint="eastAsia" w:ascii="仿宋" w:hAnsi="仿宋" w:eastAsia="仿宋" w:cs="FangSong_GB2312"/>
          <w:color w:val="000000" w:themeColor="text1"/>
          <w:sz w:val="32"/>
          <w:szCs w:val="32"/>
          <w14:textFill>
            <w14:solidFill>
              <w14:schemeClr w14:val="tx1"/>
            </w14:solidFill>
          </w14:textFill>
        </w:rPr>
        <w:t>或</w:t>
      </w:r>
      <w:r>
        <w:rPr>
          <w:rFonts w:ascii="仿宋" w:hAnsi="仿宋" w:eastAsia="仿宋" w:cs="FangSong_GB2312"/>
          <w:color w:val="000000" w:themeColor="text1"/>
          <w:sz w:val="32"/>
          <w:szCs w:val="32"/>
          <w14:textFill>
            <w14:solidFill>
              <w14:schemeClr w14:val="tx1"/>
            </w14:solidFill>
          </w14:textFill>
        </w:rPr>
        <w:t>http://www.whggzy.com</w:t>
      </w:r>
      <w:r>
        <w:rPr>
          <w:rFonts w:hint="eastAsia" w:ascii="仿宋" w:hAnsi="仿宋" w:eastAsia="仿宋" w:cs="FangSong_GB2312"/>
          <w:color w:val="000000" w:themeColor="text1"/>
          <w:sz w:val="32"/>
          <w:szCs w:val="32"/>
          <w14:textFill>
            <w14:solidFill>
              <w14:schemeClr w14:val="tx1"/>
            </w14:solidFill>
          </w14:textFill>
        </w:rPr>
        <w:t>）或内蒙古自治区网上交易系统（</w:t>
      </w:r>
      <w:r>
        <w:rPr>
          <w:rFonts w:ascii="仿宋" w:hAnsi="仿宋" w:eastAsia="仿宋" w:cs="FangSong_GB2312"/>
          <w:color w:val="000000" w:themeColor="text1"/>
          <w:sz w:val="32"/>
          <w:szCs w:val="32"/>
          <w14:textFill>
            <w14:solidFill>
              <w14:schemeClr w14:val="tx1"/>
            </w14:solidFill>
          </w14:textFill>
        </w:rPr>
        <w:t>http://110.16.70.81:8090/trade-engine/trade/index</w:t>
      </w:r>
      <w:r>
        <w:rPr>
          <w:rFonts w:hint="eastAsia" w:ascii="仿宋" w:hAnsi="仿宋" w:eastAsia="仿宋" w:cs="FangSong_GB2312"/>
          <w:color w:val="000000" w:themeColor="text1"/>
          <w:sz w:val="32"/>
          <w:szCs w:val="32"/>
          <w14:textFill>
            <w14:solidFill>
              <w14:schemeClr w14:val="tx1"/>
            </w14:solidFill>
          </w14:textFill>
        </w:rPr>
        <w:t>）获取本次挂牌出让的出让须知和有关资料（不包括法定节假日）。</w:t>
      </w:r>
    </w:p>
    <w:p>
      <w:pPr>
        <w:spacing w:line="560" w:lineRule="exact"/>
        <w:ind w:left="0" w:firstLine="640" w:firstLineChars="200"/>
        <w:textAlignment w:val="baseline"/>
        <w:rPr>
          <w:rFonts w:ascii="仿宋" w:hAnsi="仿宋" w:eastAsia="仿宋"/>
          <w:color w:val="auto"/>
          <w:sz w:val="32"/>
          <w:szCs w:val="32"/>
        </w:rPr>
      </w:pPr>
      <w:r>
        <w:rPr>
          <w:rFonts w:hint="eastAsia" w:ascii="仿宋" w:hAnsi="仿宋" w:eastAsia="仿宋" w:cs="FangSong_GB2312"/>
          <w:color w:val="auto"/>
          <w:sz w:val="32"/>
          <w:szCs w:val="32"/>
        </w:rPr>
        <w:t>五、本次挂牌地点为乌海市公共资源交易中心，</w:t>
      </w:r>
      <w:r>
        <w:rPr>
          <w:rFonts w:hint="eastAsia" w:ascii="仿宋" w:hAnsi="仿宋" w:eastAsia="仿宋" w:cs="FangSong_GB2312"/>
          <w:color w:val="auto"/>
          <w:sz w:val="32"/>
          <w:szCs w:val="32"/>
          <w:highlight w:val="none"/>
        </w:rPr>
        <w:t>挂牌时间为</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FangSong_GB2312"/>
          <w:color w:val="auto"/>
          <w:sz w:val="32"/>
          <w:szCs w:val="32"/>
          <w:highlight w:val="none"/>
          <w:lang w:val="en-US" w:eastAsia="zh-CN"/>
        </w:rPr>
        <w:t>9</w:t>
      </w:r>
      <w:r>
        <w:rPr>
          <w:rFonts w:hint="eastAsia" w:ascii="仿宋" w:hAnsi="仿宋" w:eastAsia="仿宋" w:cs="FangSong_GB2312"/>
          <w:color w:val="auto"/>
          <w:sz w:val="32"/>
          <w:szCs w:val="32"/>
          <w:highlight w:val="none"/>
        </w:rPr>
        <w:t>月</w:t>
      </w:r>
      <w:r>
        <w:rPr>
          <w:rFonts w:hint="eastAsia" w:ascii="仿宋" w:hAnsi="仿宋" w:eastAsia="仿宋" w:cs="FangSong_GB2312"/>
          <w:color w:val="auto"/>
          <w:sz w:val="32"/>
          <w:szCs w:val="32"/>
          <w:highlight w:val="none"/>
          <w:lang w:val="en-US" w:eastAsia="zh-CN"/>
        </w:rPr>
        <w:t>6</w:t>
      </w:r>
      <w:r>
        <w:rPr>
          <w:rFonts w:hint="eastAsia" w:ascii="仿宋" w:hAnsi="仿宋" w:eastAsia="仿宋" w:cs="FangSong_GB2312"/>
          <w:color w:val="auto"/>
          <w:sz w:val="32"/>
          <w:szCs w:val="32"/>
          <w:highlight w:val="none"/>
        </w:rPr>
        <w:t>日</w:t>
      </w:r>
      <w:r>
        <w:rPr>
          <w:rFonts w:ascii="仿宋" w:hAnsi="仿宋" w:eastAsia="仿宋" w:cs="FangSong_GB2312"/>
          <w:color w:val="auto"/>
          <w:sz w:val="32"/>
          <w:szCs w:val="32"/>
          <w:highlight w:val="none"/>
        </w:rPr>
        <w:t>9</w:t>
      </w:r>
      <w:r>
        <w:rPr>
          <w:rFonts w:hint="eastAsia" w:ascii="仿宋" w:hAnsi="仿宋" w:eastAsia="仿宋" w:cs="FangSong_GB2312"/>
          <w:color w:val="auto"/>
          <w:sz w:val="32"/>
          <w:szCs w:val="32"/>
          <w:highlight w:val="none"/>
        </w:rPr>
        <w:t>：</w:t>
      </w:r>
      <w:r>
        <w:rPr>
          <w:rFonts w:ascii="仿宋" w:hAnsi="仿宋" w:eastAsia="仿宋" w:cs="FangSong_GB2312"/>
          <w:color w:val="auto"/>
          <w:sz w:val="32"/>
          <w:szCs w:val="32"/>
          <w:highlight w:val="none"/>
        </w:rPr>
        <w:t>00</w:t>
      </w:r>
      <w:r>
        <w:rPr>
          <w:rFonts w:hint="eastAsia" w:ascii="仿宋" w:hAnsi="仿宋" w:eastAsia="仿宋" w:cs="FangSong_GB2312"/>
          <w:color w:val="auto"/>
          <w:sz w:val="32"/>
          <w:szCs w:val="32"/>
          <w:highlight w:val="none"/>
        </w:rPr>
        <w:t>时至</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FangSong_GB2312"/>
          <w:color w:val="auto"/>
          <w:sz w:val="32"/>
          <w:szCs w:val="32"/>
          <w:highlight w:val="none"/>
          <w:lang w:val="en-US" w:eastAsia="zh-CN"/>
        </w:rPr>
        <w:t>9</w:t>
      </w:r>
      <w:r>
        <w:rPr>
          <w:rFonts w:hint="eastAsia" w:ascii="仿宋" w:hAnsi="仿宋" w:eastAsia="仿宋" w:cs="FangSong_GB2312"/>
          <w:color w:val="auto"/>
          <w:sz w:val="32"/>
          <w:szCs w:val="32"/>
          <w:highlight w:val="none"/>
        </w:rPr>
        <w:t>月</w:t>
      </w:r>
      <w:r>
        <w:rPr>
          <w:rFonts w:hint="eastAsia" w:ascii="仿宋" w:hAnsi="仿宋" w:eastAsia="仿宋" w:cs="FangSong_GB2312"/>
          <w:color w:val="auto"/>
          <w:sz w:val="32"/>
          <w:szCs w:val="32"/>
          <w:highlight w:val="none"/>
          <w:lang w:val="en-US" w:eastAsia="zh-CN"/>
        </w:rPr>
        <w:t>19</w:t>
      </w:r>
      <w:r>
        <w:rPr>
          <w:rFonts w:hint="eastAsia" w:ascii="仿宋" w:hAnsi="仿宋" w:eastAsia="仿宋" w:cs="FangSong_GB2312"/>
          <w:color w:val="auto"/>
          <w:sz w:val="32"/>
          <w:szCs w:val="32"/>
          <w:highlight w:val="none"/>
        </w:rPr>
        <w:t>日</w:t>
      </w:r>
      <w:r>
        <w:rPr>
          <w:rFonts w:ascii="仿宋" w:hAnsi="仿宋" w:eastAsia="仿宋" w:cs="FangSong_GB2312"/>
          <w:color w:val="auto"/>
          <w:sz w:val="32"/>
          <w:szCs w:val="32"/>
          <w:highlight w:val="none"/>
        </w:rPr>
        <w:t>16</w:t>
      </w:r>
      <w:r>
        <w:rPr>
          <w:rFonts w:hint="eastAsia" w:ascii="仿宋" w:hAnsi="仿宋" w:eastAsia="仿宋" w:cs="FangSong_GB2312"/>
          <w:color w:val="auto"/>
          <w:sz w:val="32"/>
          <w:szCs w:val="32"/>
          <w:highlight w:val="none"/>
        </w:rPr>
        <w:t>：</w:t>
      </w:r>
      <w:r>
        <w:rPr>
          <w:rFonts w:ascii="仿宋" w:hAnsi="仿宋" w:eastAsia="仿宋" w:cs="FangSong_GB2312"/>
          <w:color w:val="auto"/>
          <w:sz w:val="32"/>
          <w:szCs w:val="32"/>
          <w:highlight w:val="none"/>
        </w:rPr>
        <w:t>00</w:t>
      </w:r>
      <w:r>
        <w:rPr>
          <w:rFonts w:hint="eastAsia" w:ascii="仿宋" w:hAnsi="仿宋" w:eastAsia="仿宋" w:cs="FangSong_GB2312"/>
          <w:color w:val="auto"/>
          <w:sz w:val="32"/>
          <w:szCs w:val="32"/>
          <w:highlight w:val="none"/>
        </w:rPr>
        <w:t>时</w:t>
      </w:r>
      <w:r>
        <w:rPr>
          <w:rFonts w:hint="eastAsia" w:ascii="仿宋" w:hAnsi="仿宋" w:eastAsia="仿宋" w:cs="FangSong_GB2312"/>
          <w:color w:val="auto"/>
          <w:sz w:val="32"/>
          <w:szCs w:val="32"/>
        </w:rPr>
        <w:t>（不包括法定节假日）。</w:t>
      </w:r>
    </w:p>
    <w:p>
      <w:pPr>
        <w:spacing w:line="560" w:lineRule="exact"/>
        <w:ind w:left="0" w:firstLine="645"/>
        <w:textAlignment w:val="baseline"/>
        <w:rPr>
          <w:rFonts w:ascii="仿宋" w:hAnsi="仿宋" w:eastAsia="仿宋" w:cs="FangSong_GB2312"/>
          <w:color w:val="auto"/>
          <w:sz w:val="32"/>
          <w:szCs w:val="32"/>
        </w:rPr>
      </w:pPr>
      <w:r>
        <w:rPr>
          <w:rFonts w:hint="eastAsia" w:ascii="仿宋" w:hAnsi="仿宋" w:eastAsia="仿宋" w:cs="FangSong_GB2312"/>
          <w:color w:val="auto"/>
          <w:sz w:val="32"/>
          <w:szCs w:val="32"/>
        </w:rPr>
        <w:t>六、本次土地挂牌出让采用网上竞买申请的方式。竞买人在报名期内登录“内蒙古自治区国土资源网上交易系统”使用CA证书获取预申购资源的竞买申请书。</w:t>
      </w:r>
    </w:p>
    <w:p>
      <w:pPr>
        <w:spacing w:line="560" w:lineRule="exact"/>
        <w:ind w:left="0" w:firstLine="645"/>
        <w:textAlignment w:val="baseline"/>
        <w:rPr>
          <w:rFonts w:ascii="仿宋" w:hAnsi="仿宋" w:eastAsia="仿宋" w:cs="FangSong_GB2312"/>
          <w:color w:val="auto"/>
          <w:sz w:val="32"/>
          <w:szCs w:val="32"/>
        </w:rPr>
      </w:pPr>
      <w:r>
        <w:rPr>
          <w:rFonts w:hint="eastAsia" w:ascii="仿宋" w:hAnsi="仿宋" w:eastAsia="仿宋" w:cs="FangSong_GB2312"/>
          <w:color w:val="auto"/>
          <w:sz w:val="32"/>
          <w:szCs w:val="32"/>
        </w:rPr>
        <w:t>CA证书的办理流程详见乌海市公共资源交易中心网站办事指南中CA办理指南。</w:t>
      </w:r>
    </w:p>
    <w:p>
      <w:pPr>
        <w:spacing w:line="560" w:lineRule="exact"/>
        <w:ind w:left="0" w:firstLine="645"/>
        <w:textAlignment w:val="baseline"/>
        <w:rPr>
          <w:rFonts w:ascii="仿宋" w:hAnsi="仿宋" w:eastAsia="仿宋" w:cs="FangSong_GB2312"/>
          <w:color w:val="auto"/>
          <w:sz w:val="32"/>
          <w:szCs w:val="32"/>
        </w:rPr>
      </w:pPr>
      <w:r>
        <w:rPr>
          <w:rFonts w:hint="eastAsia" w:ascii="仿宋" w:hAnsi="仿宋" w:eastAsia="仿宋" w:cs="FangSong_GB2312"/>
          <w:color w:val="auto"/>
          <w:sz w:val="32"/>
          <w:szCs w:val="32"/>
        </w:rPr>
        <w:t>七、</w:t>
      </w:r>
      <w:r>
        <w:rPr>
          <w:rFonts w:hint="eastAsia" w:ascii="仿宋" w:hAnsi="仿宋" w:eastAsia="仿宋"/>
          <w:color w:val="auto"/>
          <w:sz w:val="32"/>
          <w:szCs w:val="32"/>
          <w:shd w:val="clear" w:color="auto" w:fill="FFFFFF"/>
        </w:rPr>
        <w:t>竞买保证金缴纳</w:t>
      </w:r>
    </w:p>
    <w:p>
      <w:pPr>
        <w:spacing w:line="560" w:lineRule="exact"/>
        <w:ind w:left="0" w:firstLine="645"/>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auto"/>
          <w:sz w:val="32"/>
          <w:szCs w:val="32"/>
        </w:rPr>
        <w:t>交纳竞买保证金的截止时间为</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9</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14</w:t>
      </w:r>
      <w:r>
        <w:rPr>
          <w:rFonts w:hint="eastAsia" w:ascii="仿宋" w:hAnsi="仿宋" w:eastAsia="仿宋" w:cs="FangSong_GB2312"/>
          <w:color w:val="auto"/>
          <w:sz w:val="32"/>
          <w:szCs w:val="32"/>
          <w:highlight w:val="none"/>
        </w:rPr>
        <w:t>日</w:t>
      </w:r>
      <w:r>
        <w:rPr>
          <w:rFonts w:ascii="仿宋" w:hAnsi="仿宋" w:eastAsia="仿宋" w:cs="FangSong_GB2312"/>
          <w:color w:val="auto"/>
          <w:sz w:val="32"/>
          <w:szCs w:val="32"/>
          <w:highlight w:val="none"/>
        </w:rPr>
        <w:t>16</w:t>
      </w:r>
      <w:r>
        <w:rPr>
          <w:rFonts w:hint="eastAsia" w:ascii="仿宋" w:hAnsi="仿宋" w:eastAsia="仿宋" w:cs="FangSong_GB2312"/>
          <w:color w:val="auto"/>
          <w:sz w:val="32"/>
          <w:szCs w:val="32"/>
          <w:highlight w:val="none"/>
        </w:rPr>
        <w:t>：</w:t>
      </w:r>
      <w:r>
        <w:rPr>
          <w:rFonts w:ascii="仿宋" w:hAnsi="仿宋" w:eastAsia="仿宋" w:cs="FangSong_GB2312"/>
          <w:color w:val="auto"/>
          <w:sz w:val="32"/>
          <w:szCs w:val="32"/>
          <w:highlight w:val="none"/>
        </w:rPr>
        <w:t>00</w:t>
      </w:r>
      <w:r>
        <w:rPr>
          <w:rFonts w:hint="eastAsia" w:ascii="仿宋" w:hAnsi="仿宋" w:eastAsia="仿宋" w:cs="FangSong_GB2312"/>
          <w:color w:val="auto"/>
          <w:sz w:val="32"/>
          <w:szCs w:val="32"/>
          <w:highlight w:val="none"/>
        </w:rPr>
        <w:t>时。</w:t>
      </w:r>
    </w:p>
    <w:p>
      <w:pPr>
        <w:spacing w:line="560" w:lineRule="exact"/>
        <w:ind w:left="0" w:firstLine="640" w:firstLineChars="200"/>
        <w:textAlignment w:val="baseline"/>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八、确定竞得人的标准和方法</w:t>
      </w:r>
    </w:p>
    <w:p>
      <w:pPr>
        <w:spacing w:line="560" w:lineRule="exact"/>
        <w:ind w:left="0" w:firstLine="640" w:firstLineChars="200"/>
        <w:textAlignment w:val="baseline"/>
        <w:rPr>
          <w:rFonts w:ascii="仿宋" w:hAnsi="仿宋" w:eastAsia="仿宋" w:cs="FangSong_GB2312"/>
          <w:bCs/>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1、申请人按规定交纳竞买保证金，保证金到账后，内蒙古自治区国土资源网上交易系统自动确定该竞买人的竞买资格，签发相应宗地的《竞买资格确认书》</w:t>
      </w:r>
      <w:r>
        <w:rPr>
          <w:rFonts w:ascii="仿宋" w:hAnsi="仿宋" w:eastAsia="仿宋" w:cs="FangSong_GB2312"/>
          <w:bCs/>
          <w:color w:val="000000" w:themeColor="text1"/>
          <w:sz w:val="32"/>
          <w:szCs w:val="32"/>
          <w14:textFill>
            <w14:solidFill>
              <w14:schemeClr w14:val="tx1"/>
            </w14:solidFill>
          </w14:textFill>
        </w:rPr>
        <w:t>（以资金划入指定账户为准）</w:t>
      </w:r>
      <w:r>
        <w:rPr>
          <w:rFonts w:hint="eastAsia" w:ascii="仿宋" w:hAnsi="仿宋" w:eastAsia="仿宋" w:cs="FangSong_GB2312"/>
          <w:bCs/>
          <w:color w:val="000000" w:themeColor="text1"/>
          <w:sz w:val="32"/>
          <w:szCs w:val="32"/>
          <w14:textFill>
            <w14:solidFill>
              <w14:schemeClr w14:val="tx1"/>
            </w14:solidFill>
          </w14:textFill>
        </w:rPr>
        <w:t>。</w:t>
      </w:r>
    </w:p>
    <w:p>
      <w:pPr>
        <w:spacing w:line="560" w:lineRule="exact"/>
        <w:ind w:left="0" w:firstLine="640" w:firstLineChars="200"/>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olor w:val="000000" w:themeColor="text1"/>
          <w:sz w:val="32"/>
          <w:szCs w:val="32"/>
          <w:shd w:val="clear" w:color="auto" w:fill="FFFFFF"/>
          <w14:textFill>
            <w14:solidFill>
              <w14:schemeClr w14:val="tx1"/>
            </w14:solidFill>
          </w14:textFill>
        </w:rPr>
        <w:t>2、取得《竞买资格确认书》的竞买人，在网上挂牌期限内，可通过CA证书登录系统后进行有效报价</w:t>
      </w:r>
      <w:r>
        <w:rPr>
          <w:rFonts w:hint="eastAsia" w:ascii="仿宋" w:hAnsi="仿宋" w:eastAsia="仿宋"/>
          <w:color w:val="FF0000"/>
          <w:sz w:val="32"/>
          <w:szCs w:val="32"/>
          <w:shd w:val="clear" w:color="auto" w:fill="FFFFFF"/>
          <w:lang w:eastAsia="zh-CN"/>
        </w:rPr>
        <w:t>（</w:t>
      </w:r>
      <w:r>
        <w:rPr>
          <w:rFonts w:hint="eastAsia" w:ascii="仿宋" w:hAnsi="仿宋" w:eastAsia="仿宋"/>
          <w:color w:val="FF0000"/>
          <w:sz w:val="32"/>
          <w:szCs w:val="32"/>
          <w:shd w:val="clear" w:color="auto" w:fill="FFFFFF"/>
          <w:lang w:val="en-US" w:eastAsia="zh-CN"/>
        </w:rPr>
        <w:t>提示：竞买人报价后可以刷新页面确定报价是否成功，请不要连续点击报价按钮，避免重复报价）</w:t>
      </w:r>
      <w:r>
        <w:rPr>
          <w:rFonts w:hint="eastAsia" w:ascii="仿宋" w:hAnsi="仿宋" w:eastAsia="仿宋"/>
          <w:color w:val="000000" w:themeColor="text1"/>
          <w:sz w:val="32"/>
          <w:szCs w:val="32"/>
          <w:shd w:val="clear" w:color="auto" w:fill="FFFFFF"/>
          <w14:textFill>
            <w14:solidFill>
              <w14:schemeClr w14:val="tx1"/>
            </w14:solidFill>
          </w14:textFill>
        </w:rPr>
        <w:t>，</w:t>
      </w:r>
      <w:r>
        <w:rPr>
          <w:rFonts w:hint="eastAsia" w:ascii="仿宋" w:hAnsi="仿宋" w:eastAsia="仿宋" w:cs="FangSong_GB2312"/>
          <w:color w:val="000000" w:themeColor="text1"/>
          <w:sz w:val="32"/>
          <w:szCs w:val="32"/>
          <w14:textFill>
            <w14:solidFill>
              <w14:schemeClr w14:val="tx1"/>
            </w14:solidFill>
          </w14:textFill>
        </w:rPr>
        <w:t>网上挂牌期限截止时，如果</w:t>
      </w:r>
      <w:r>
        <w:rPr>
          <w:rFonts w:hint="eastAsia" w:ascii="仿宋" w:hAnsi="仿宋" w:eastAsia="仿宋"/>
          <w:color w:val="000000" w:themeColor="text1"/>
          <w:sz w:val="32"/>
          <w:szCs w:val="32"/>
          <w14:textFill>
            <w14:solidFill>
              <w14:schemeClr w14:val="tx1"/>
            </w14:solidFill>
          </w14:textFill>
        </w:rPr>
        <w:t>只有一个竞买人报价：设有底价的资源，交易系统判定报价是否低于底价,高于底价且符合其他条件的确定其为预竞得人;低于底价的,挂牌不成交。不设置底价的系统直接确定其为预竞得人。</w:t>
      </w:r>
    </w:p>
    <w:p>
      <w:pPr>
        <w:spacing w:line="560" w:lineRule="exact"/>
        <w:ind w:left="0" w:firstLine="640" w:firstLineChars="200"/>
        <w:textAlignment w:val="baseline"/>
        <w:rPr>
          <w:rFonts w:ascii="仿宋" w:hAnsi="仿宋" w:eastAsia="仿宋"/>
          <w:color w:val="000000" w:themeColor="text1"/>
          <w:sz w:val="32"/>
          <w:szCs w:val="32"/>
          <w:shd w:val="clear" w:color="auto" w:fill="FFFFFF"/>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3、网上挂牌期限截止时，如果有两个以上（含两个）的竞买人报价的，网上挂牌报价时间截止，进入3分钟询问期，询问有资格的竞买人是否参与后续的限时竞价。限时竞价以4分钟为单位，在4分钟内，有任一竞买人提交新的报价，时间重新计时4分钟，直至无竞买人再出价，系统确定成交结果，出价最高且不低于底价的有效报价人为预竞得人。低于底价的，资源不成交。不设置底价的系统直接确定最高报价者为预竞得人。</w:t>
      </w:r>
    </w:p>
    <w:p>
      <w:pPr>
        <w:spacing w:line="560" w:lineRule="exact"/>
        <w:ind w:left="0" w:firstLine="640" w:firstLineChars="200"/>
        <w:textAlignment w:val="baseline"/>
        <w:rPr>
          <w:rFonts w:ascii="仿宋" w:hAnsi="仿宋" w:eastAsia="仿宋" w:cs="FangSong_GB2312"/>
          <w:b/>
          <w:color w:val="000000" w:themeColor="text1"/>
          <w:sz w:val="32"/>
          <w:szCs w:val="32"/>
          <w14:textFill>
            <w14:solidFill>
              <w14:schemeClr w14:val="tx1"/>
            </w14:solidFill>
          </w14:textFill>
        </w:rPr>
      </w:pPr>
      <w:r>
        <w:rPr>
          <w:rFonts w:hint="eastAsia" w:ascii="仿宋" w:hAnsi="仿宋" w:eastAsia="仿宋"/>
          <w:color w:val="000000" w:themeColor="text1"/>
          <w:sz w:val="32"/>
          <w:szCs w:val="32"/>
          <w:shd w:val="clear" w:color="auto" w:fill="FFFFFF"/>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网上挂牌期限截止时，无人报价的，挂牌结束，资源不成交。</w:t>
      </w:r>
    </w:p>
    <w:p>
      <w:pPr>
        <w:autoSpaceDE w:val="0"/>
        <w:spacing w:line="560" w:lineRule="exact"/>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九、查询网址：</w:t>
      </w:r>
    </w:p>
    <w:p>
      <w:pPr>
        <w:autoSpaceDE w:val="0"/>
        <w:spacing w:line="560" w:lineRule="exact"/>
        <w:ind w:firstLine="640" w:firstLineChars="200"/>
        <w:jc w:val="left"/>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中国土地市场网</w:t>
      </w:r>
      <w:r>
        <w:rPr>
          <w:rFonts w:ascii="仿宋" w:hAnsi="仿宋" w:eastAsia="仿宋" w:cs="FangSong_GB2312"/>
          <w:color w:val="000000" w:themeColor="text1"/>
          <w:sz w:val="32"/>
          <w:szCs w:val="32"/>
          <w14:textFill>
            <w14:solidFill>
              <w14:schemeClr w14:val="tx1"/>
            </w14:solidFill>
          </w14:textFill>
        </w:rPr>
        <w:t xml:space="preserve"> (http://www.landchina.com)</w:t>
      </w:r>
    </w:p>
    <w:p>
      <w:pPr>
        <w:autoSpaceDE w:val="0"/>
        <w:spacing w:line="560" w:lineRule="exact"/>
        <w:ind w:firstLine="640" w:firstLineChars="200"/>
        <w:jc w:val="left"/>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乌海市自然资源局（</w:t>
      </w:r>
      <w:r>
        <w:rPr>
          <w:rFonts w:ascii="仿宋" w:hAnsi="仿宋" w:eastAsia="仿宋" w:cs="FangSong_GB2312"/>
          <w:color w:val="000000" w:themeColor="text1"/>
          <w:sz w:val="32"/>
          <w:szCs w:val="32"/>
          <w14:textFill>
            <w14:solidFill>
              <w14:schemeClr w14:val="tx1"/>
            </w14:solidFill>
          </w14:textFill>
        </w:rPr>
        <w:t>http://zrzy.wuhai.gov.cn/)</w:t>
      </w:r>
    </w:p>
    <w:p>
      <w:pPr>
        <w:autoSpaceDE w:val="0"/>
        <w:spacing w:line="560" w:lineRule="exact"/>
        <w:ind w:left="0" w:firstLine="640" w:firstLineChars="200"/>
        <w:jc w:val="left"/>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乌海市公共资源交易中心（</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"http://www.whggzy.com" </w:instrText>
      </w:r>
      <w:r>
        <w:rPr>
          <w:color w:val="000000" w:themeColor="text1"/>
          <w14:textFill>
            <w14:solidFill>
              <w14:schemeClr w14:val="tx1"/>
            </w14:solidFill>
          </w14:textFill>
        </w:rPr>
        <w:fldChar w:fldCharType="separate"/>
      </w:r>
      <w:r>
        <w:rPr>
          <w:rStyle w:val="19"/>
          <w:rFonts w:ascii="仿宋" w:hAnsi="仿宋" w:eastAsia="仿宋" w:cs="FangSong_GB2312"/>
          <w:color w:val="000000" w:themeColor="text1"/>
          <w:sz w:val="32"/>
          <w:szCs w:val="32"/>
          <w:u w:val="none"/>
          <w14:textFill>
            <w14:solidFill>
              <w14:schemeClr w14:val="tx1"/>
            </w14:solidFill>
          </w14:textFill>
        </w:rPr>
        <w:t>http://www.whggzy.com</w:t>
      </w:r>
      <w:r>
        <w:rPr>
          <w:rStyle w:val="19"/>
          <w:rFonts w:ascii="仿宋" w:hAnsi="仿宋" w:eastAsia="仿宋" w:cs="FangSong_GB2312"/>
          <w:color w:val="000000" w:themeColor="text1"/>
          <w:sz w:val="32"/>
          <w:szCs w:val="32"/>
          <w:u w:val="none"/>
          <w14:textFill>
            <w14:solidFill>
              <w14:schemeClr w14:val="tx1"/>
            </w14:solidFill>
          </w14:textFill>
        </w:rPr>
        <w:fldChar w:fldCharType="end"/>
      </w:r>
      <w:r>
        <w:rPr>
          <w:rFonts w:hint="eastAsia" w:ascii="仿宋" w:hAnsi="仿宋" w:eastAsia="仿宋" w:cs="FangSong_GB2312"/>
          <w:color w:val="000000" w:themeColor="text1"/>
          <w:sz w:val="32"/>
          <w:szCs w:val="32"/>
          <w14:textFill>
            <w14:solidFill>
              <w14:schemeClr w14:val="tx1"/>
            </w14:solidFill>
          </w14:textFill>
        </w:rPr>
        <w:t>）</w:t>
      </w:r>
    </w:p>
    <w:p>
      <w:pPr>
        <w:autoSpaceDE w:val="0"/>
        <w:spacing w:line="560" w:lineRule="exact"/>
        <w:ind w:left="0" w:firstLine="640" w:firstLineChars="200"/>
        <w:jc w:val="left"/>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内蒙古自治区公共资源交易网(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"http://ggzyjy.nmg.gov.cn/" </w:instrText>
      </w:r>
      <w:r>
        <w:rPr>
          <w:color w:val="000000" w:themeColor="text1"/>
          <w14:textFill>
            <w14:solidFill>
              <w14:schemeClr w14:val="tx1"/>
            </w14:solidFill>
          </w14:textFill>
        </w:rPr>
        <w:fldChar w:fldCharType="separate"/>
      </w:r>
      <w:r>
        <w:rPr>
          <w:rStyle w:val="19"/>
          <w:rFonts w:ascii="仿宋" w:hAnsi="仿宋" w:eastAsia="仿宋" w:cs="FangSong_GB2312"/>
          <w:color w:val="000000" w:themeColor="text1"/>
          <w:sz w:val="32"/>
          <w:szCs w:val="32"/>
          <w:u w:val="none"/>
          <w14:textFill>
            <w14:solidFill>
              <w14:schemeClr w14:val="tx1"/>
            </w14:solidFill>
          </w14:textFill>
        </w:rPr>
        <w:t>http://ggzyjy.nmg.gov.cn/</w:t>
      </w:r>
      <w:r>
        <w:rPr>
          <w:rStyle w:val="19"/>
          <w:rFonts w:ascii="仿宋" w:hAnsi="仿宋" w:eastAsia="仿宋" w:cs="FangSong_GB2312"/>
          <w:color w:val="000000" w:themeColor="text1"/>
          <w:sz w:val="32"/>
          <w:szCs w:val="32"/>
          <w:u w:val="none"/>
          <w14:textFill>
            <w14:solidFill>
              <w14:schemeClr w14:val="tx1"/>
            </w14:solidFill>
          </w14:textFill>
        </w:rPr>
        <w:fldChar w:fldCharType="end"/>
      </w:r>
      <w:r>
        <w:rPr>
          <w:rFonts w:hint="eastAsia" w:ascii="仿宋" w:hAnsi="仿宋" w:eastAsia="仿宋" w:cs="FangSong_GB2312"/>
          <w:color w:val="000000" w:themeColor="text1"/>
          <w:sz w:val="32"/>
          <w:szCs w:val="32"/>
          <w14:textFill>
            <w14:solidFill>
              <w14:schemeClr w14:val="tx1"/>
            </w14:solidFill>
          </w14:textFill>
        </w:rPr>
        <w:t>)</w:t>
      </w:r>
    </w:p>
    <w:p>
      <w:pPr>
        <w:autoSpaceDE w:val="0"/>
        <w:spacing w:line="560" w:lineRule="exact"/>
        <w:ind w:left="479" w:leftChars="228" w:firstLine="160" w:firstLineChars="5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内蒙古自治区自然资源网上交易系统（</w:t>
      </w:r>
      <w:r>
        <w:rPr>
          <w:rFonts w:ascii="仿宋" w:hAnsi="仿宋" w:eastAsia="仿宋" w:cs="FangSong_GB2312"/>
          <w:color w:val="000000" w:themeColor="text1"/>
          <w:sz w:val="32"/>
          <w:szCs w:val="32"/>
          <w14:textFill>
            <w14:solidFill>
              <w14:schemeClr w14:val="tx1"/>
            </w14:solidFill>
          </w14:textFill>
        </w:rPr>
        <w:t>http://110.16.70.81:8090/trade-engine/trade/index</w:t>
      </w:r>
      <w:r>
        <w:rPr>
          <w:rFonts w:hint="eastAsia" w:ascii="仿宋" w:hAnsi="仿宋" w:eastAsia="仿宋" w:cs="FangSong_GB2312"/>
          <w:color w:val="000000" w:themeColor="text1"/>
          <w:sz w:val="32"/>
          <w:szCs w:val="32"/>
          <w14:textFill>
            <w14:solidFill>
              <w14:schemeClr w14:val="tx1"/>
            </w14:solidFill>
          </w14:textFill>
        </w:rPr>
        <w:t>）</w:t>
      </w:r>
    </w:p>
    <w:p>
      <w:pPr>
        <w:spacing w:line="560" w:lineRule="exact"/>
        <w:ind w:left="0" w:firstLine="640" w:firstLineChars="200"/>
        <w:jc w:val="left"/>
        <w:textAlignment w:val="baseline"/>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十、乌海市公共资源交易中心联系人：</w:t>
      </w:r>
      <w:r>
        <w:rPr>
          <w:rFonts w:hint="eastAsia" w:ascii="仿宋" w:hAnsi="仿宋" w:eastAsia="仿宋"/>
          <w:color w:val="000000" w:themeColor="text1"/>
          <w:sz w:val="32"/>
          <w:szCs w:val="32"/>
          <w14:textFill>
            <w14:solidFill>
              <w14:schemeClr w14:val="tx1"/>
            </w14:solidFill>
          </w14:textFill>
        </w:rPr>
        <w:t xml:space="preserve">王工   张工 </w:t>
      </w:r>
    </w:p>
    <w:p>
      <w:pPr>
        <w:spacing w:line="560" w:lineRule="exact"/>
        <w:ind w:left="6380" w:leftChars="600" w:hanging="5120" w:hangingChars="1600"/>
        <w:jc w:val="left"/>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乌海市公共资源交易中心联系电话：0473-2999715  0473-2999760</w:t>
      </w:r>
    </w:p>
    <w:p>
      <w:pPr>
        <w:spacing w:line="560" w:lineRule="exact"/>
        <w:ind w:firstLine="1280" w:firstLineChars="400"/>
        <w:jc w:val="left"/>
        <w:textAlignment w:val="baseline"/>
        <w:rPr>
          <w:rFonts w:hint="eastAsia" w:ascii="仿宋" w:hAnsi="仿宋" w:eastAsia="仿宋"/>
          <w:color w:val="auto"/>
          <w:sz w:val="32"/>
          <w:szCs w:val="32"/>
          <w:lang w:eastAsia="zh-CN"/>
        </w:rPr>
      </w:pPr>
      <w:r>
        <w:rPr>
          <w:rFonts w:hint="eastAsia" w:ascii="仿宋" w:hAnsi="仿宋" w:eastAsia="仿宋"/>
          <w:color w:val="auto"/>
          <w:sz w:val="32"/>
          <w:szCs w:val="32"/>
        </w:rPr>
        <w:t>乌海市自然资源局</w:t>
      </w:r>
      <w:r>
        <w:rPr>
          <w:rFonts w:hint="eastAsia" w:ascii="仿宋" w:hAnsi="仿宋" w:eastAsia="仿宋"/>
          <w:color w:val="auto"/>
          <w:sz w:val="32"/>
          <w:szCs w:val="32"/>
          <w:lang w:eastAsia="zh-CN"/>
        </w:rPr>
        <w:t>海勃湾</w:t>
      </w:r>
      <w:r>
        <w:rPr>
          <w:rFonts w:hint="eastAsia" w:ascii="仿宋" w:hAnsi="仿宋" w:eastAsia="仿宋"/>
          <w:color w:val="auto"/>
          <w:sz w:val="32"/>
          <w:szCs w:val="32"/>
        </w:rPr>
        <w:t>分局联系人:</w:t>
      </w:r>
      <w:r>
        <w:rPr>
          <w:rFonts w:hint="eastAsia" w:ascii="仿宋" w:hAnsi="仿宋" w:eastAsia="仿宋"/>
          <w:color w:val="auto"/>
          <w:sz w:val="32"/>
          <w:szCs w:val="32"/>
          <w:lang w:eastAsia="zh-CN"/>
        </w:rPr>
        <w:t>张闻天</w:t>
      </w:r>
    </w:p>
    <w:p>
      <w:pPr>
        <w:spacing w:line="560" w:lineRule="exact"/>
        <w:ind w:firstLine="1280" w:firstLineChars="400"/>
        <w:jc w:val="left"/>
        <w:textAlignment w:val="baseline"/>
        <w:rPr>
          <w:rStyle w:val="17"/>
          <w:rFonts w:hint="default" w:ascii="仿宋" w:hAnsi="仿宋" w:eastAsia="仿宋"/>
          <w:b w:val="0"/>
          <w:color w:val="auto"/>
          <w:sz w:val="32"/>
          <w:szCs w:val="32"/>
          <w:lang w:val="en-US" w:eastAsia="zh-CN"/>
        </w:rPr>
      </w:pPr>
      <w:r>
        <w:rPr>
          <w:rFonts w:hint="eastAsia" w:ascii="仿宋" w:hAnsi="仿宋" w:eastAsia="仿宋"/>
          <w:color w:val="auto"/>
          <w:sz w:val="32"/>
          <w:szCs w:val="32"/>
        </w:rPr>
        <w:t>乌海市自然资源局</w:t>
      </w:r>
      <w:r>
        <w:rPr>
          <w:rFonts w:hint="eastAsia" w:ascii="仿宋" w:hAnsi="仿宋" w:eastAsia="仿宋"/>
          <w:color w:val="auto"/>
          <w:sz w:val="32"/>
          <w:szCs w:val="32"/>
          <w:lang w:eastAsia="zh-CN"/>
        </w:rPr>
        <w:t>海勃湾</w:t>
      </w:r>
      <w:r>
        <w:rPr>
          <w:rFonts w:hint="eastAsia" w:ascii="仿宋" w:hAnsi="仿宋" w:eastAsia="仿宋"/>
          <w:color w:val="auto"/>
          <w:sz w:val="32"/>
          <w:szCs w:val="32"/>
        </w:rPr>
        <w:t>分局联系电话:0473-</w:t>
      </w:r>
      <w:r>
        <w:rPr>
          <w:rFonts w:hint="eastAsia" w:ascii="仿宋" w:hAnsi="仿宋" w:eastAsia="仿宋"/>
          <w:color w:val="auto"/>
          <w:sz w:val="32"/>
          <w:szCs w:val="32"/>
          <w:lang w:val="en-US" w:eastAsia="zh-CN"/>
        </w:rPr>
        <w:t>6995512</w:t>
      </w:r>
    </w:p>
    <w:p>
      <w:pPr>
        <w:spacing w:line="560" w:lineRule="exact"/>
        <w:ind w:firstLine="1280" w:firstLineChars="400"/>
        <w:jc w:val="right"/>
        <w:textAlignment w:val="baseline"/>
        <w:rPr>
          <w:rFonts w:ascii="仿宋" w:hAnsi="仿宋" w:eastAsia="仿宋"/>
          <w:color w:val="auto"/>
          <w:sz w:val="32"/>
          <w:szCs w:val="32"/>
        </w:rPr>
      </w:pPr>
    </w:p>
    <w:p>
      <w:pPr>
        <w:spacing w:line="560" w:lineRule="exact"/>
        <w:ind w:firstLine="1280" w:firstLineChars="400"/>
        <w:jc w:val="right"/>
        <w:textAlignment w:val="baseline"/>
        <w:rPr>
          <w:rFonts w:ascii="仿宋" w:hAnsi="仿宋" w:eastAsia="仿宋"/>
          <w:color w:val="auto"/>
          <w:sz w:val="32"/>
          <w:szCs w:val="32"/>
          <w:highlight w:val="none"/>
        </w:rPr>
      </w:pPr>
      <w:r>
        <w:rPr>
          <w:rFonts w:hint="eastAsia" w:ascii="仿宋" w:hAnsi="仿宋" w:eastAsia="仿宋"/>
          <w:color w:val="auto"/>
          <w:sz w:val="32"/>
          <w:szCs w:val="32"/>
        </w:rPr>
        <w:t>乌海</w:t>
      </w:r>
      <w:r>
        <w:rPr>
          <w:rFonts w:hint="eastAsia" w:ascii="仿宋" w:hAnsi="仿宋" w:eastAsia="仿宋"/>
          <w:color w:val="auto"/>
          <w:sz w:val="32"/>
          <w:szCs w:val="32"/>
          <w:highlight w:val="none"/>
        </w:rPr>
        <w:t>市公共资源交易中心</w:t>
      </w:r>
    </w:p>
    <w:p>
      <w:pPr>
        <w:spacing w:line="560" w:lineRule="exact"/>
        <w:ind w:firstLine="1280" w:firstLineChars="400"/>
        <w:jc w:val="right"/>
        <w:textAlignment w:val="baseline"/>
        <w:rPr>
          <w:rFonts w:ascii="仿宋" w:hAnsi="仿宋" w:eastAsia="仿宋"/>
          <w:color w:val="auto"/>
          <w:sz w:val="32"/>
          <w:szCs w:val="32"/>
          <w:highlight w:val="yellow"/>
        </w:rPr>
      </w:pPr>
      <w:r>
        <w:rPr>
          <w:rFonts w:hint="eastAsia" w:ascii="仿宋" w:hAnsi="仿宋" w:eastAsia="仿宋"/>
          <w:color w:val="auto"/>
          <w:sz w:val="32"/>
          <w:szCs w:val="32"/>
          <w:highlight w:val="none"/>
        </w:rPr>
        <w:t xml:space="preserve">                               202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8</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17</w:t>
      </w:r>
      <w:r>
        <w:rPr>
          <w:rFonts w:hint="eastAsia" w:ascii="仿宋" w:hAnsi="仿宋" w:eastAsia="仿宋"/>
          <w:color w:val="auto"/>
          <w:sz w:val="32"/>
          <w:szCs w:val="32"/>
          <w:highlight w:val="none"/>
        </w:rPr>
        <w:t xml:space="preserve">日 </w:t>
      </w:r>
    </w:p>
    <w:p>
      <w:pPr>
        <w:spacing w:line="538" w:lineRule="exact"/>
        <w:ind w:left="0" w:firstLine="0"/>
        <w:jc w:val="center"/>
        <w:textAlignment w:val="baseline"/>
        <w:rPr>
          <w:rFonts w:ascii="微软雅黑" w:hAnsi="仿宋" w:eastAsia="微软雅黑" w:cs="微软雅黑"/>
          <w:color w:val="auto"/>
          <w:sz w:val="44"/>
          <w:szCs w:val="44"/>
        </w:rPr>
      </w:pPr>
    </w:p>
    <w:bookmarkEnd w:id="0"/>
    <w:p>
      <w:pPr>
        <w:spacing w:line="538" w:lineRule="exact"/>
        <w:ind w:left="0" w:firstLine="0"/>
        <w:jc w:val="center"/>
        <w:textAlignment w:val="baseline"/>
        <w:rPr>
          <w:rFonts w:ascii="微软雅黑" w:hAnsi="仿宋" w:eastAsia="微软雅黑" w:cs="微软雅黑"/>
          <w:color w:val="000000" w:themeColor="text1"/>
          <w:sz w:val="44"/>
          <w:szCs w:val="44"/>
          <w14:textFill>
            <w14:solidFill>
              <w14:schemeClr w14:val="tx1"/>
            </w14:solidFill>
          </w14:textFill>
        </w:rPr>
      </w:pPr>
    </w:p>
    <w:p>
      <w:pPr>
        <w:spacing w:line="538" w:lineRule="exact"/>
        <w:ind w:left="0" w:firstLine="0"/>
        <w:jc w:val="center"/>
        <w:textAlignment w:val="baseline"/>
        <w:rPr>
          <w:rFonts w:ascii="微软雅黑" w:hAnsi="仿宋" w:eastAsia="微软雅黑" w:cs="微软雅黑"/>
          <w:color w:val="000000" w:themeColor="text1"/>
          <w:sz w:val="44"/>
          <w:szCs w:val="44"/>
          <w14:textFill>
            <w14:solidFill>
              <w14:schemeClr w14:val="tx1"/>
            </w14:solidFill>
          </w14:textFill>
        </w:rPr>
      </w:pPr>
    </w:p>
    <w:p>
      <w:pPr>
        <w:spacing w:line="538" w:lineRule="exact"/>
        <w:ind w:left="0" w:firstLine="0"/>
        <w:jc w:val="center"/>
        <w:textAlignment w:val="baseline"/>
        <w:rPr>
          <w:rFonts w:ascii="微软雅黑" w:hAnsi="仿宋" w:eastAsia="微软雅黑" w:cs="微软雅黑"/>
          <w:color w:val="000000" w:themeColor="text1"/>
          <w:sz w:val="44"/>
          <w:szCs w:val="44"/>
          <w14:textFill>
            <w14:solidFill>
              <w14:schemeClr w14:val="tx1"/>
            </w14:solidFill>
          </w14:textFill>
        </w:rPr>
      </w:pPr>
    </w:p>
    <w:p>
      <w:pPr>
        <w:spacing w:line="538" w:lineRule="exact"/>
        <w:ind w:left="0" w:firstLine="0"/>
        <w:jc w:val="center"/>
        <w:textAlignment w:val="baseline"/>
        <w:rPr>
          <w:rFonts w:hint="eastAsia" w:asciiTheme="minorEastAsia" w:hAnsiTheme="minorEastAsia" w:eastAsiaTheme="minorEastAsia" w:cstheme="minorEastAsia"/>
          <w:b/>
          <w:bCs/>
          <w:color w:val="000000" w:themeColor="text1"/>
          <w:sz w:val="44"/>
          <w:szCs w:val="44"/>
          <w14:textFill>
            <w14:solidFill>
              <w14:schemeClr w14:val="tx1"/>
            </w14:solidFill>
          </w14:textFill>
        </w:rPr>
      </w:pPr>
      <w:r>
        <w:rPr>
          <w:rFonts w:hint="eastAsia" w:asciiTheme="minorEastAsia" w:hAnsiTheme="minorEastAsia" w:eastAsiaTheme="minorEastAsia" w:cstheme="minorEastAsia"/>
          <w:b/>
          <w:bCs/>
          <w:color w:val="000000" w:themeColor="text1"/>
          <w:sz w:val="44"/>
          <w:szCs w:val="44"/>
          <w14:textFill>
            <w14:solidFill>
              <w14:schemeClr w14:val="tx1"/>
            </w14:solidFill>
          </w14:textFill>
        </w:rPr>
        <w:t>乌海市国有建设用地使用权挂牌出让须知</w:t>
      </w:r>
    </w:p>
    <w:p>
      <w:pPr>
        <w:tabs>
          <w:tab w:val="left" w:pos="4400"/>
          <w:tab w:val="left" w:pos="4600"/>
        </w:tabs>
        <w:spacing w:line="540" w:lineRule="exact"/>
        <w:ind w:left="0" w:firstLine="640" w:firstLineChars="200"/>
        <w:rPr>
          <w:rFonts w:asciiTheme="minorEastAsia" w:hAnsiTheme="minorEastAsia" w:eastAsiaTheme="minorEastAsia"/>
          <w:color w:val="000000" w:themeColor="text1"/>
          <w:sz w:val="32"/>
          <w:szCs w:val="32"/>
          <w14:textFill>
            <w14:solidFill>
              <w14:schemeClr w14:val="tx1"/>
            </w14:solidFill>
          </w14:textFill>
        </w:rPr>
      </w:pPr>
    </w:p>
    <w:p>
      <w:pPr>
        <w:spacing w:line="540" w:lineRule="exact"/>
        <w:ind w:left="0" w:firstLine="640" w:firstLineChars="200"/>
        <w:rPr>
          <w:rFonts w:ascii="仿宋" w:hAnsi="仿宋" w:eastAsia="仿宋"/>
          <w:color w:val="auto"/>
          <w:sz w:val="32"/>
          <w:szCs w:val="32"/>
        </w:rPr>
      </w:pPr>
      <w:r>
        <w:rPr>
          <w:rFonts w:hint="eastAsia" w:ascii="仿宋" w:hAnsi="仿宋" w:eastAsia="仿宋"/>
          <w:color w:val="000000" w:themeColor="text1"/>
          <w:sz w:val="32"/>
          <w:szCs w:val="32"/>
          <w14:textFill>
            <w14:solidFill>
              <w14:schemeClr w14:val="tx1"/>
            </w14:solidFill>
          </w14:textFill>
        </w:rPr>
        <w:t>根据《中华人民共和国土地管理法》、《中华人民共和国城市房地产管理法》、《中华人民共和国城镇国有土地使用权出让和转让暂行条例》、《招标拍卖挂牌出让国有建设用地使用权规定》以及《招标拍卖挂牌出让国有土地使用权规范》等有关规定</w:t>
      </w:r>
      <w:r>
        <w:rPr>
          <w:rFonts w:hint="eastAsia" w:ascii="仿宋" w:hAnsi="仿宋" w:eastAsia="仿宋"/>
          <w:color w:val="auto"/>
          <w:sz w:val="32"/>
          <w:szCs w:val="32"/>
        </w:rPr>
        <w:t>，经乌海市</w:t>
      </w:r>
      <w:r>
        <w:rPr>
          <w:rFonts w:hint="eastAsia" w:ascii="仿宋" w:hAnsi="仿宋" w:eastAsia="仿宋"/>
          <w:color w:val="auto"/>
          <w:sz w:val="32"/>
          <w:szCs w:val="32"/>
          <w:lang w:eastAsia="zh-CN"/>
        </w:rPr>
        <w:t>海勃湾区</w:t>
      </w:r>
      <w:r>
        <w:rPr>
          <w:rFonts w:hint="eastAsia" w:ascii="仿宋" w:hAnsi="仿宋" w:eastAsia="仿宋"/>
          <w:color w:val="auto"/>
          <w:sz w:val="32"/>
          <w:szCs w:val="32"/>
        </w:rPr>
        <w:t>人民政府批准，乌海市自然资源局</w:t>
      </w:r>
      <w:r>
        <w:rPr>
          <w:rFonts w:hint="eastAsia" w:ascii="仿宋" w:hAnsi="仿宋" w:eastAsia="仿宋"/>
          <w:color w:val="auto"/>
          <w:sz w:val="32"/>
          <w:szCs w:val="32"/>
          <w:lang w:val="en-US" w:eastAsia="zh-CN"/>
        </w:rPr>
        <w:t>海勃湾</w:t>
      </w:r>
      <w:r>
        <w:rPr>
          <w:rFonts w:hint="eastAsia" w:ascii="仿宋" w:hAnsi="仿宋" w:eastAsia="仿宋"/>
          <w:color w:val="auto"/>
          <w:sz w:val="32"/>
          <w:szCs w:val="32"/>
        </w:rPr>
        <w:t>分局以挂牌方式出让</w:t>
      </w:r>
      <w:r>
        <w:rPr>
          <w:rFonts w:hint="eastAsia" w:ascii="仿宋" w:hAnsi="仿宋" w:eastAsia="仿宋"/>
          <w:color w:val="auto"/>
          <w:sz w:val="32"/>
          <w:szCs w:val="32"/>
          <w:lang w:val="en-US" w:eastAsia="zh-CN"/>
        </w:rPr>
        <w:t>1</w:t>
      </w:r>
      <w:r>
        <w:rPr>
          <w:rFonts w:hint="eastAsia" w:ascii="仿宋" w:hAnsi="仿宋" w:eastAsia="仿宋"/>
          <w:color w:val="auto"/>
          <w:sz w:val="32"/>
          <w:szCs w:val="32"/>
        </w:rPr>
        <w:t>宗地块的国有建设用地使用权。</w:t>
      </w:r>
    </w:p>
    <w:p>
      <w:pPr>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一、本次国有建设用地使用权挂牌出让的出让人为乌海市自然资源局</w:t>
      </w:r>
      <w:r>
        <w:rPr>
          <w:rFonts w:hint="eastAsia" w:ascii="仿宋" w:hAnsi="仿宋" w:eastAsia="仿宋"/>
          <w:color w:val="auto"/>
          <w:sz w:val="32"/>
          <w:szCs w:val="32"/>
          <w:lang w:val="en-US" w:eastAsia="zh-CN"/>
        </w:rPr>
        <w:t>海勃湾</w:t>
      </w:r>
      <w:r>
        <w:rPr>
          <w:rFonts w:hint="eastAsia" w:ascii="仿宋" w:hAnsi="仿宋" w:eastAsia="仿宋"/>
          <w:color w:val="auto"/>
          <w:sz w:val="32"/>
          <w:szCs w:val="32"/>
        </w:rPr>
        <w:t>分局，具体组织实施由乌海市公共资源交易中心负责。</w:t>
      </w:r>
    </w:p>
    <w:p>
      <w:pPr>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二、本次国有建设用地使用权挂牌出让遵循公开、公平、公正和诚实信用的原则。</w:t>
      </w:r>
    </w:p>
    <w:p>
      <w:pPr>
        <w:spacing w:line="540" w:lineRule="exact"/>
        <w:ind w:left="0" w:firstLine="640" w:firstLineChars="200"/>
        <w:rPr>
          <w:rFonts w:hint="eastAsia" w:ascii="仿宋" w:hAnsi="仿宋" w:eastAsia="仿宋" w:cs="仿宋"/>
          <w:sz w:val="32"/>
          <w:szCs w:val="32"/>
          <w:highlight w:val="none"/>
        </w:rPr>
      </w:pPr>
      <w:r>
        <w:rPr>
          <w:rFonts w:hint="eastAsia" w:ascii="仿宋" w:hAnsi="仿宋" w:eastAsia="仿宋"/>
          <w:color w:val="000000" w:themeColor="text1"/>
          <w:sz w:val="32"/>
          <w:szCs w:val="32"/>
          <w14:textFill>
            <w14:solidFill>
              <w14:schemeClr w14:val="tx1"/>
            </w14:solidFill>
          </w14:textFill>
        </w:rPr>
        <w:t>三、出让地块的基本情况及规划指标要求等：</w:t>
      </w:r>
    </w:p>
    <w:p>
      <w:pPr>
        <w:spacing w:line="538" w:lineRule="exact"/>
        <w:ind w:left="0"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lang w:eastAsia="zh-CN"/>
          <w14:textFill>
            <w14:solidFill>
              <w14:schemeClr w14:val="tx1"/>
            </w14:solidFill>
          </w14:textFill>
        </w:rPr>
        <w:t>一</w:t>
      </w:r>
      <w:r>
        <w:rPr>
          <w:rFonts w:hint="eastAsia" w:ascii="仿宋" w:hAnsi="仿宋" w:eastAsia="仿宋"/>
          <w:b/>
          <w:color w:val="000000" w:themeColor="text1"/>
          <w:sz w:val="32"/>
          <w:szCs w:val="32"/>
          <w14:textFill>
            <w14:solidFill>
              <w14:schemeClr w14:val="tx1"/>
            </w14:solidFill>
          </w14:textFill>
        </w:rPr>
        <w:t>号地块</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（一）地块位置：</w:t>
      </w:r>
      <w:r>
        <w:rPr>
          <w:rFonts w:hint="eastAsia" w:ascii="仿宋" w:hAnsi="仿宋" w:eastAsia="仿宋"/>
          <w:kern w:val="0"/>
          <w:sz w:val="32"/>
          <w:szCs w:val="32"/>
          <w:lang w:val="en-US" w:eastAsia="zh-CN"/>
        </w:rPr>
        <w:t>海勃湾区千里山工业园区</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（二）出让面积：56915.84</w:t>
      </w:r>
      <w:r>
        <w:rPr>
          <w:rFonts w:hint="eastAsia" w:ascii="仿宋" w:hAnsi="仿宋" w:eastAsia="仿宋"/>
          <w:kern w:val="0"/>
          <w:sz w:val="32"/>
          <w:szCs w:val="32"/>
          <w:lang w:val="en-US" w:eastAsia="zh-CN"/>
        </w:rPr>
        <w:t>平方米（约85.37亩）</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（三）土地用途：</w:t>
      </w:r>
      <w:r>
        <w:rPr>
          <w:rFonts w:hint="eastAsia" w:ascii="仿宋" w:hAnsi="仿宋" w:eastAsia="仿宋" w:cs="仿宋"/>
          <w:sz w:val="32"/>
          <w:szCs w:val="32"/>
          <w:highlight w:val="none"/>
          <w:lang w:eastAsia="zh-CN"/>
        </w:rPr>
        <w:t>工业用地</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（四）使用年期：50年；</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（五）建设时间：出让合同约定的动工开发期限内动工，</w:t>
      </w:r>
      <w:r>
        <w:rPr>
          <w:rFonts w:hint="eastAsia" w:ascii="仿宋" w:hAnsi="仿宋" w:eastAsia="仿宋" w:cs="仿宋"/>
          <w:color w:val="000000" w:themeColor="text1"/>
          <w:sz w:val="32"/>
          <w:szCs w:val="32"/>
          <w:highlight w:val="none"/>
          <w:lang w:eastAsia="zh-CN"/>
          <w14:textFill>
            <w14:solidFill>
              <w14:schemeClr w14:val="tx1"/>
            </w14:solidFill>
          </w14:textFill>
        </w:rPr>
        <w:t>二</w:t>
      </w:r>
      <w:r>
        <w:rPr>
          <w:rFonts w:hint="eastAsia" w:ascii="仿宋" w:hAnsi="仿宋" w:eastAsia="仿宋" w:cs="仿宋"/>
          <w:color w:val="000000" w:themeColor="text1"/>
          <w:sz w:val="32"/>
          <w:szCs w:val="32"/>
          <w:highlight w:val="none"/>
          <w14:textFill>
            <w14:solidFill>
              <w14:schemeClr w14:val="tx1"/>
            </w14:solidFill>
          </w14:textFill>
        </w:rPr>
        <w:t>年内建设完成；</w:t>
      </w:r>
    </w:p>
    <w:p>
      <w:pPr>
        <w:spacing w:line="538"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（六）规划用地性质：</w:t>
      </w:r>
      <w:r>
        <w:rPr>
          <w:rFonts w:hint="eastAsia" w:ascii="仿宋" w:hAnsi="仿宋" w:eastAsia="仿宋" w:cs="仿宋"/>
          <w:sz w:val="32"/>
          <w:szCs w:val="32"/>
          <w:highlight w:val="none"/>
          <w:lang w:eastAsia="zh-CN"/>
        </w:rPr>
        <w:t>工业用地</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（七）容积率：</w:t>
      </w:r>
      <w:r>
        <w:rPr>
          <w:rFonts w:hint="eastAsia" w:ascii="仿宋" w:hAnsi="仿宋" w:eastAsia="仿宋" w:cs="仿宋"/>
          <w:sz w:val="32"/>
          <w:szCs w:val="32"/>
          <w:highlight w:val="none"/>
        </w:rPr>
        <w:t>≥</w:t>
      </w:r>
      <w:r>
        <w:rPr>
          <w:rFonts w:hint="eastAsia" w:ascii="仿宋_GB2312" w:hAnsi="仿宋_GB2312" w:eastAsia="仿宋_GB2312"/>
          <w:sz w:val="32"/>
          <w:highlight w:val="none"/>
          <w:lang w:val="en-US" w:eastAsia="zh-CN"/>
        </w:rPr>
        <w:t>0.7</w:t>
      </w:r>
      <w:r>
        <w:rPr>
          <w:rFonts w:hint="eastAsia" w:ascii="仿宋" w:hAnsi="仿宋" w:eastAsia="仿宋"/>
          <w:color w:val="000000" w:themeColor="text1"/>
          <w:sz w:val="32"/>
          <w:szCs w:val="32"/>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（八）</w:t>
      </w:r>
      <w:r>
        <w:rPr>
          <w:rFonts w:hint="eastAsia" w:ascii="仿宋" w:hAnsi="仿宋" w:eastAsia="仿宋"/>
          <w:color w:val="000000" w:themeColor="text1"/>
          <w:sz w:val="32"/>
          <w:szCs w:val="32"/>
          <w14:textFill>
            <w14:solidFill>
              <w14:schemeClr w14:val="tx1"/>
            </w14:solidFill>
          </w14:textFill>
        </w:rPr>
        <w:t>建筑限高：</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20米</w:t>
      </w:r>
      <w:r>
        <w:rPr>
          <w:rFonts w:hint="eastAsia" w:ascii="仿宋" w:hAnsi="仿宋" w:eastAsia="仿宋"/>
          <w:color w:val="000000" w:themeColor="text1"/>
          <w:sz w:val="32"/>
          <w:szCs w:val="32"/>
          <w:lang w:eastAsia="zh-CN"/>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九</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绿地率：</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20%</w:t>
      </w:r>
      <w:r>
        <w:rPr>
          <w:rFonts w:hint="eastAsia" w:ascii="仿宋" w:hAnsi="仿宋" w:eastAsia="仿宋"/>
          <w:color w:val="000000" w:themeColor="text1"/>
          <w:sz w:val="32"/>
          <w:szCs w:val="32"/>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eastAsia="zh-CN"/>
          <w14:textFill>
            <w14:solidFill>
              <w14:schemeClr w14:val="tx1"/>
            </w14:solidFill>
          </w14:textFill>
        </w:rPr>
        <w:t>十</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建筑</w:t>
      </w:r>
      <w:r>
        <w:rPr>
          <w:rFonts w:hint="eastAsia" w:ascii="仿宋" w:hAnsi="仿宋" w:eastAsia="仿宋" w:cs="仿宋"/>
          <w:color w:val="000000" w:themeColor="text1"/>
          <w:sz w:val="32"/>
          <w:szCs w:val="32"/>
          <w:lang w:eastAsia="zh-CN"/>
          <w14:textFill>
            <w14:solidFill>
              <w14:schemeClr w14:val="tx1"/>
            </w14:solidFill>
          </w14:textFill>
        </w:rPr>
        <w:t>系数</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w:t>
      </w:r>
      <w:r>
        <w:rPr>
          <w:rFonts w:hint="eastAsia" w:ascii="仿宋" w:hAnsi="仿宋" w:eastAsia="仿宋" w:cs="仿宋"/>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baseline"/>
        <w:outlineLvl w:val="9"/>
        <w:rPr>
          <w:rFonts w:hint="eastAsia" w:ascii="仿宋_GB2312" w:hAnsi="仿宋_GB2312" w:eastAsia="仿宋_GB2312"/>
          <w:color w:val="auto"/>
          <w:sz w:val="32"/>
          <w:highlight w:val="none"/>
          <w:lang w:val="en-US" w:eastAsia="zh-CN"/>
        </w:rPr>
      </w:pPr>
      <w:r>
        <w:rPr>
          <w:rFonts w:hint="eastAsia" w:ascii="仿宋" w:hAnsi="仿宋" w:eastAsia="仿宋" w:cs="仿宋"/>
          <w:sz w:val="32"/>
          <w:szCs w:val="32"/>
          <w:highlight w:val="none"/>
          <w:lang w:val="en-US" w:eastAsia="zh-CN"/>
        </w:rPr>
        <w:t>（十一）</w:t>
      </w:r>
      <w:r>
        <w:rPr>
          <w:rFonts w:hint="eastAsia" w:ascii="仿宋_GB2312" w:hAnsi="仿宋_GB2312" w:eastAsia="仿宋_GB2312"/>
          <w:color w:val="auto"/>
          <w:sz w:val="32"/>
          <w:highlight w:val="none"/>
          <w:lang w:val="en-US" w:eastAsia="zh-CN"/>
        </w:rPr>
        <w:t>亩均年产值（</w:t>
      </w:r>
      <w:r>
        <w:rPr>
          <w:rFonts w:hint="eastAsia" w:ascii="仿宋_GB2312" w:hAnsi="仿宋_GB2312" w:eastAsia="仿宋_GB2312"/>
          <w:color w:val="auto"/>
          <w:sz w:val="32"/>
          <w:highlight w:val="none"/>
        </w:rPr>
        <w:t>万元/</w:t>
      </w:r>
      <w:r>
        <w:rPr>
          <w:rFonts w:hint="eastAsia" w:ascii="仿宋_GB2312" w:hAnsi="仿宋_GB2312" w:eastAsia="仿宋_GB2312"/>
          <w:color w:val="auto"/>
          <w:sz w:val="32"/>
          <w:highlight w:val="none"/>
          <w:lang w:eastAsia="zh-CN"/>
        </w:rPr>
        <w:t>亩</w:t>
      </w:r>
      <w:r>
        <w:rPr>
          <w:rFonts w:hint="eastAsia" w:ascii="仿宋_GB2312" w:hAnsi="仿宋_GB2312" w:eastAsia="仿宋_GB2312"/>
          <w:color w:val="auto"/>
          <w:sz w:val="32"/>
          <w:highlight w:val="none"/>
          <w:lang w:val="en-US" w:eastAsia="zh-CN"/>
        </w:rPr>
        <w:t>）：</w:t>
      </w:r>
      <w:r>
        <w:rPr>
          <w:rFonts w:hint="eastAsia" w:ascii="仿宋" w:hAnsi="仿宋" w:eastAsia="仿宋" w:cs="仿宋"/>
          <w:color w:val="auto"/>
          <w:sz w:val="32"/>
          <w:highlight w:val="none"/>
        </w:rPr>
        <w:t>≥</w:t>
      </w:r>
      <w:r>
        <w:rPr>
          <w:rFonts w:hint="eastAsia" w:ascii="仿宋" w:hAnsi="仿宋" w:eastAsia="仿宋" w:cs="仿宋"/>
          <w:color w:val="auto"/>
          <w:sz w:val="32"/>
          <w:highlight w:val="none"/>
          <w:lang w:val="en-US" w:eastAsia="zh-CN"/>
        </w:rPr>
        <w:t>437</w:t>
      </w:r>
      <w:r>
        <w:rPr>
          <w:rFonts w:hint="eastAsia" w:ascii="仿宋" w:hAnsi="仿宋" w:eastAsia="仿宋" w:cs="仿宋"/>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baseline"/>
        <w:outlineLvl w:val="9"/>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（十二）</w:t>
      </w:r>
      <w:r>
        <w:rPr>
          <w:rFonts w:hint="eastAsia" w:ascii="仿宋_GB2312" w:hAnsi="仿宋_GB2312" w:eastAsia="仿宋_GB2312"/>
          <w:color w:val="auto"/>
          <w:sz w:val="32"/>
          <w:highlight w:val="none"/>
          <w:lang w:val="en-US" w:eastAsia="zh-CN"/>
        </w:rPr>
        <w:t>亩均年税收（</w:t>
      </w:r>
      <w:r>
        <w:rPr>
          <w:rFonts w:hint="eastAsia" w:ascii="仿宋_GB2312" w:hAnsi="仿宋_GB2312" w:eastAsia="仿宋_GB2312"/>
          <w:color w:val="auto"/>
          <w:sz w:val="32"/>
          <w:highlight w:val="none"/>
        </w:rPr>
        <w:t>万元/</w:t>
      </w:r>
      <w:r>
        <w:rPr>
          <w:rFonts w:hint="eastAsia" w:ascii="仿宋_GB2312" w:hAnsi="仿宋_GB2312" w:eastAsia="仿宋_GB2312"/>
          <w:color w:val="auto"/>
          <w:sz w:val="32"/>
          <w:highlight w:val="none"/>
          <w:lang w:eastAsia="zh-CN"/>
        </w:rPr>
        <w:t>亩</w:t>
      </w:r>
      <w:r>
        <w:rPr>
          <w:rFonts w:hint="eastAsia" w:ascii="仿宋_GB2312" w:hAnsi="仿宋_GB2312" w:eastAsia="仿宋_GB2312"/>
          <w:color w:val="auto"/>
          <w:sz w:val="32"/>
          <w:highlight w:val="none"/>
          <w:lang w:val="en-US" w:eastAsia="zh-CN"/>
        </w:rPr>
        <w:t>）：</w:t>
      </w:r>
      <w:r>
        <w:rPr>
          <w:rFonts w:hint="eastAsia" w:ascii="仿宋" w:hAnsi="仿宋" w:eastAsia="仿宋" w:cs="仿宋"/>
          <w:color w:val="auto"/>
          <w:sz w:val="32"/>
          <w:highlight w:val="none"/>
        </w:rPr>
        <w:t>≥</w:t>
      </w:r>
      <w:r>
        <w:rPr>
          <w:rFonts w:hint="eastAsia" w:ascii="仿宋" w:hAnsi="仿宋" w:eastAsia="仿宋" w:cs="仿宋"/>
          <w:color w:val="auto"/>
          <w:sz w:val="32"/>
          <w:highlight w:val="none"/>
          <w:lang w:val="en-US" w:eastAsia="zh-CN"/>
        </w:rPr>
        <w:t>11.35</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（十三）</w:t>
      </w:r>
      <w:r>
        <w:rPr>
          <w:rFonts w:hint="eastAsia" w:ascii="仿宋_GB2312" w:hAnsi="仿宋_GB2312" w:eastAsia="仿宋_GB2312"/>
          <w:color w:val="auto"/>
          <w:sz w:val="32"/>
          <w:highlight w:val="none"/>
          <w:lang w:eastAsia="zh-CN"/>
        </w:rPr>
        <w:t>固定资产</w:t>
      </w:r>
      <w:r>
        <w:rPr>
          <w:rFonts w:hint="eastAsia" w:ascii="仿宋" w:hAnsi="仿宋" w:eastAsia="仿宋" w:cs="仿宋"/>
          <w:sz w:val="32"/>
          <w:szCs w:val="32"/>
          <w:highlight w:val="none"/>
          <w:lang w:val="en-US" w:eastAsia="zh-CN"/>
        </w:rPr>
        <w:t>投资强度：</w:t>
      </w:r>
      <w:r>
        <w:rPr>
          <w:rFonts w:hint="eastAsia" w:ascii="仿宋" w:hAnsi="仿宋" w:eastAsia="仿宋" w:cs="仿宋"/>
          <w:color w:val="auto"/>
          <w:sz w:val="32"/>
          <w:highlight w:val="none"/>
        </w:rPr>
        <w:t>≥</w:t>
      </w:r>
      <w:r>
        <w:rPr>
          <w:rFonts w:hint="eastAsia" w:ascii="仿宋" w:hAnsi="仿宋" w:eastAsia="仿宋" w:cs="仿宋"/>
          <w:color w:val="auto"/>
          <w:sz w:val="32"/>
          <w:highlight w:val="none"/>
          <w:lang w:val="en-US" w:eastAsia="zh-CN"/>
        </w:rPr>
        <w:t>287</w:t>
      </w:r>
      <w:r>
        <w:rPr>
          <w:rFonts w:hint="eastAsia" w:ascii="仿宋" w:hAnsi="仿宋" w:eastAsia="仿宋" w:cs="仿宋"/>
          <w:sz w:val="32"/>
          <w:szCs w:val="32"/>
          <w:highlight w:val="none"/>
          <w:lang w:val="en-US" w:eastAsia="zh-CN"/>
        </w:rPr>
        <w:t>万元/亩；</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（十四）</w:t>
      </w:r>
      <w:r>
        <w:rPr>
          <w:rFonts w:hint="eastAsia" w:ascii="仿宋_GB2312" w:hAnsi="仿宋_GB2312" w:eastAsia="仿宋_GB2312"/>
          <w:color w:val="auto"/>
          <w:sz w:val="32"/>
          <w:highlight w:val="none"/>
        </w:rPr>
        <w:t>准入产业类别：</w:t>
      </w:r>
      <w:r>
        <w:rPr>
          <w:rFonts w:hint="eastAsia" w:ascii="仿宋" w:hAnsi="仿宋" w:eastAsia="仿宋" w:cs="仿宋"/>
          <w:color w:val="auto"/>
          <w:sz w:val="32"/>
          <w:highlight w:val="none"/>
          <w:lang w:eastAsia="zh-CN"/>
        </w:rPr>
        <w:t>300万吨/年焦化</w:t>
      </w:r>
      <w:r>
        <w:rPr>
          <w:rFonts w:hint="eastAsia" w:ascii="仿宋_GB2312" w:hAnsi="仿宋_GB2312" w:eastAsia="仿宋_GB2312"/>
          <w:color w:val="auto"/>
          <w:sz w:val="32"/>
          <w:highlight w:val="none"/>
          <w:lang w:eastAsia="zh-CN"/>
        </w:rPr>
        <w:t>项目</w:t>
      </w:r>
      <w:r>
        <w:rPr>
          <w:rFonts w:hint="eastAsia" w:ascii="仿宋" w:hAnsi="仿宋" w:eastAsia="仿宋" w:cs="仿宋"/>
          <w:color w:val="000000" w:themeColor="text1"/>
          <w:sz w:val="32"/>
          <w:szCs w:val="32"/>
          <w:highlight w:val="none"/>
          <w14:textFill>
            <w14:solidFill>
              <w14:schemeClr w14:val="tx1"/>
            </w14:solidFill>
          </w14:textFill>
        </w:rPr>
        <w:t>；</w:t>
      </w:r>
    </w:p>
    <w:p>
      <w:pPr>
        <w:keepNext w:val="0"/>
        <w:keepLines w:val="0"/>
        <w:pageBreakBefore w:val="0"/>
        <w:kinsoku/>
        <w:wordWrap/>
        <w:overflowPunct/>
        <w:topLinePunct w:val="0"/>
        <w:autoSpaceDE/>
        <w:autoSpaceDN/>
        <w:bidi w:val="0"/>
        <w:spacing w:line="600" w:lineRule="exact"/>
        <w:ind w:firstLine="624"/>
        <w:textAlignment w:val="baseline"/>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（十五）</w:t>
      </w:r>
      <w:r>
        <w:rPr>
          <w:rFonts w:hint="eastAsia" w:ascii="仿宋" w:hAnsi="仿宋" w:eastAsia="仿宋" w:cs="仿宋"/>
          <w:color w:val="000000" w:themeColor="text1"/>
          <w:sz w:val="32"/>
          <w:szCs w:val="32"/>
          <w:highlight w:val="none"/>
          <w14:textFill>
            <w14:solidFill>
              <w14:schemeClr w14:val="tx1"/>
            </w14:solidFill>
          </w14:textFill>
        </w:rPr>
        <w:t>建筑退线要求：</w:t>
      </w:r>
      <w:r>
        <w:rPr>
          <w:rFonts w:hint="eastAsia" w:ascii="仿宋" w:hAnsi="仿宋" w:eastAsia="仿宋" w:cs="仿宋"/>
          <w:sz w:val="32"/>
          <w:szCs w:val="32"/>
          <w:highlight w:val="none"/>
        </w:rPr>
        <w:t>满足规划设计条件要求</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（十六）</w:t>
      </w:r>
      <w:r>
        <w:rPr>
          <w:rFonts w:hint="eastAsia" w:ascii="仿宋" w:hAnsi="仿宋" w:eastAsia="仿宋" w:cs="仿宋"/>
          <w:sz w:val="32"/>
          <w:szCs w:val="32"/>
          <w:highlight w:val="none"/>
        </w:rPr>
        <w:t>出让地块的空间范围须符合城市规划管理的有关要求</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（十七）</w:t>
      </w:r>
      <w:r>
        <w:rPr>
          <w:rFonts w:hint="eastAsia" w:ascii="仿宋" w:hAnsi="仿宋" w:eastAsia="仿宋" w:cs="仿宋"/>
          <w:color w:val="000000" w:themeColor="text1"/>
          <w:sz w:val="32"/>
          <w:szCs w:val="32"/>
          <w:highlight w:val="none"/>
          <w14:textFill>
            <w14:solidFill>
              <w14:schemeClr w14:val="tx1"/>
            </w14:solidFill>
          </w14:textFill>
        </w:rPr>
        <w:t>其他规划要求以规划条件书为准。</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（十八）</w:t>
      </w:r>
      <w:r>
        <w:rPr>
          <w:rFonts w:hint="eastAsia" w:ascii="仿宋" w:hAnsi="仿宋" w:eastAsia="仿宋" w:cs="仿宋"/>
          <w:sz w:val="32"/>
          <w:szCs w:val="32"/>
          <w:highlight w:val="none"/>
        </w:rPr>
        <w:t>该地块用地范围属于</w:t>
      </w:r>
      <w:r>
        <w:rPr>
          <w:rFonts w:hint="eastAsia" w:ascii="仿宋" w:hAnsi="仿宋" w:eastAsia="仿宋" w:cs="仿宋"/>
          <w:sz w:val="32"/>
          <w:szCs w:val="32"/>
          <w:highlight w:val="none"/>
          <w:lang w:val="en-US" w:eastAsia="zh-CN"/>
        </w:rPr>
        <w:t>2022年度第十五批次的报批范围内（</w:t>
      </w:r>
      <w:r>
        <w:rPr>
          <w:rFonts w:hint="eastAsia" w:ascii="仿宋" w:hAnsi="仿宋" w:eastAsia="仿宋" w:cs="仿宋"/>
          <w:sz w:val="32"/>
          <w:szCs w:val="32"/>
          <w:highlight w:val="none"/>
        </w:rPr>
        <w:t>内政土发〔</w:t>
      </w:r>
      <w:r>
        <w:rPr>
          <w:rFonts w:hint="eastAsia" w:ascii="仿宋" w:hAnsi="仿宋" w:eastAsia="仿宋" w:cs="仿宋"/>
          <w:sz w:val="32"/>
          <w:szCs w:val="32"/>
          <w:highlight w:val="none"/>
          <w:lang w:val="en-US" w:eastAsia="zh-CN"/>
        </w:rPr>
        <w:t>2023</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1208</w:t>
      </w:r>
      <w:r>
        <w:rPr>
          <w:rFonts w:hint="eastAsia" w:ascii="仿宋" w:hAnsi="仿宋" w:eastAsia="仿宋" w:cs="仿宋"/>
          <w:sz w:val="32"/>
          <w:szCs w:val="32"/>
          <w:highlight w:val="none"/>
        </w:rPr>
        <w:t>号</w:t>
      </w:r>
      <w:r>
        <w:rPr>
          <w:rFonts w:hint="eastAsia" w:ascii="仿宋" w:hAnsi="仿宋" w:eastAsia="仿宋" w:cs="仿宋"/>
          <w:sz w:val="32"/>
          <w:szCs w:val="32"/>
          <w:highlight w:val="none"/>
          <w:lang w:val="en-US" w:eastAsia="zh-CN"/>
        </w:rPr>
        <w:t>）。现按净地挂牌</w:t>
      </w:r>
      <w:r>
        <w:rPr>
          <w:rFonts w:hint="eastAsia" w:ascii="仿宋" w:hAnsi="仿宋" w:eastAsia="仿宋" w:cs="仿宋"/>
          <w:sz w:val="32"/>
          <w:szCs w:val="32"/>
          <w:highlight w:val="none"/>
          <w:lang w:eastAsia="zh-CN"/>
        </w:rPr>
        <w:t>出让</w:t>
      </w:r>
      <w:r>
        <w:rPr>
          <w:rFonts w:hint="eastAsia" w:ascii="仿宋" w:hAnsi="仿宋" w:eastAsia="仿宋" w:cs="仿宋"/>
          <w:sz w:val="32"/>
          <w:szCs w:val="32"/>
          <w:highlight w:val="none"/>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rPr>
        <w:t>该出让地块范围内如有树木、供电设施等，受让人可结合规划设计方案保留，对不需要保留的，由受让人自行与有关部门解决，并承担所需费用。如需要考古或地下有构筑物、其他设施等，由受让人自行与有关部门协商解决，并承担所需费用。</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（十九）</w:t>
      </w:r>
      <w:r>
        <w:rPr>
          <w:rFonts w:hint="eastAsia" w:ascii="仿宋" w:hAnsi="仿宋" w:eastAsia="仿宋" w:cs="仿宋"/>
          <w:sz w:val="32"/>
          <w:szCs w:val="32"/>
          <w:highlight w:val="none"/>
        </w:rPr>
        <w:t>其他要求：出让地块的空间范围须符合城市规划管理的有关要求，必须严格按照《内蒙古自治区建设用地规划条件书》（条字第：</w:t>
      </w:r>
      <w:r>
        <w:rPr>
          <w:rFonts w:hint="eastAsia" w:ascii="仿宋" w:hAnsi="仿宋" w:eastAsia="仿宋" w:cs="Times New Roman"/>
          <w:sz w:val="30"/>
          <w:szCs w:val="30"/>
          <w:highlight w:val="none"/>
        </w:rPr>
        <w:t>150302202</w:t>
      </w:r>
      <w:r>
        <w:rPr>
          <w:rFonts w:hint="eastAsia" w:ascii="仿宋" w:hAnsi="仿宋" w:eastAsia="仿宋" w:cs="Times New Roman"/>
          <w:sz w:val="30"/>
          <w:szCs w:val="30"/>
          <w:highlight w:val="none"/>
          <w:lang w:val="en-US" w:eastAsia="zh-CN"/>
        </w:rPr>
        <w:t>3</w:t>
      </w:r>
      <w:r>
        <w:rPr>
          <w:rFonts w:hint="eastAsia" w:ascii="仿宋" w:hAnsi="仿宋" w:eastAsia="仿宋" w:cs="Times New Roman"/>
          <w:sz w:val="30"/>
          <w:szCs w:val="30"/>
          <w:highlight w:val="none"/>
        </w:rPr>
        <w:t>000</w:t>
      </w:r>
      <w:r>
        <w:rPr>
          <w:rFonts w:hint="eastAsia" w:ascii="仿宋" w:hAnsi="仿宋" w:eastAsia="仿宋" w:cs="Times New Roman"/>
          <w:sz w:val="30"/>
          <w:szCs w:val="30"/>
          <w:highlight w:val="none"/>
          <w:lang w:val="en-US" w:eastAsia="zh-CN"/>
        </w:rPr>
        <w:t>95</w:t>
      </w:r>
      <w:r>
        <w:rPr>
          <w:rFonts w:hint="eastAsia" w:ascii="仿宋" w:hAnsi="仿宋" w:eastAsia="仿宋" w:cs="仿宋"/>
          <w:sz w:val="32"/>
          <w:szCs w:val="32"/>
          <w:highlight w:val="none"/>
        </w:rPr>
        <w:t>号）的有关要求进行建设。</w:t>
      </w:r>
    </w:p>
    <w:p>
      <w:pPr>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四、竞买资格及要求</w:t>
      </w:r>
    </w:p>
    <w:p>
      <w:pPr>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中华人民共和国境内外的法人、自然人和其他组织，除法律法规对申请人另有限制外，均可申请参加。本次挂牌不接受联合申请。工业项目用地，竞得人在项目审批时，除满足《工业项目建设用地控制指标》的要求外，还必须遵守城市规划、环境保护等法律法规，并符合国家的产业政策。房地产开发用地，申请竞买者须提交保证金不属于银行贷款、股东借款、转贷和募集资金的承诺书及商业金融机构的资信证明。</w:t>
      </w:r>
    </w:p>
    <w:p>
      <w:pPr>
        <w:spacing w:line="540" w:lineRule="exact"/>
        <w:ind w:left="0" w:firstLine="640" w:firstLineChars="200"/>
        <w:rPr>
          <w:rFonts w:ascii="仿宋" w:hAnsi="仿宋" w:eastAsia="仿宋"/>
          <w:color w:val="auto"/>
          <w:sz w:val="32"/>
          <w:szCs w:val="32"/>
          <w:highlight w:val="yellow"/>
        </w:rPr>
      </w:pPr>
      <w:r>
        <w:rPr>
          <w:rFonts w:hint="eastAsia" w:ascii="仿宋" w:hAnsi="仿宋" w:eastAsia="仿宋"/>
          <w:color w:val="auto"/>
          <w:sz w:val="32"/>
          <w:szCs w:val="32"/>
        </w:rPr>
        <w:t>交纳竞买保证金的截止时间为</w:t>
      </w:r>
      <w:r>
        <w:rPr>
          <w:rFonts w:hint="eastAsia" w:ascii="仿宋" w:hAnsi="仿宋" w:eastAsia="仿宋"/>
          <w:color w:val="auto"/>
          <w:sz w:val="32"/>
          <w:szCs w:val="32"/>
          <w:highlight w:val="none"/>
        </w:rPr>
        <w:t>202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9</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14</w:t>
      </w:r>
      <w:r>
        <w:rPr>
          <w:rFonts w:hint="eastAsia" w:ascii="仿宋" w:hAnsi="仿宋" w:eastAsia="仿宋"/>
          <w:color w:val="auto"/>
          <w:sz w:val="32"/>
          <w:szCs w:val="32"/>
          <w:highlight w:val="none"/>
        </w:rPr>
        <w:t>日16：00时。</w:t>
      </w:r>
    </w:p>
    <w:p>
      <w:pPr>
        <w:spacing w:line="540" w:lineRule="exact"/>
        <w:ind w:left="0" w:firstLine="640" w:firstLineChars="200"/>
        <w:rPr>
          <w:rFonts w:hint="eastAsia" w:ascii="仿宋" w:hAnsi="仿宋" w:eastAsia="仿宋"/>
          <w:color w:val="auto"/>
          <w:sz w:val="32"/>
          <w:szCs w:val="32"/>
        </w:rPr>
      </w:pPr>
      <w:r>
        <w:rPr>
          <w:rFonts w:hint="eastAsia" w:ascii="仿宋" w:hAnsi="仿宋" w:eastAsia="仿宋"/>
          <w:color w:val="auto"/>
          <w:sz w:val="32"/>
          <w:szCs w:val="32"/>
        </w:rPr>
        <w:t>地块竞买保证金为：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地块一：546.3921</w:t>
      </w:r>
      <w:r>
        <w:rPr>
          <w:rFonts w:hint="eastAsia" w:ascii="仿宋" w:hAnsi="仿宋" w:eastAsia="仿宋" w:cs="仿宋"/>
          <w:sz w:val="32"/>
          <w:szCs w:val="32"/>
          <w:highlight w:val="none"/>
          <w:lang w:val="en-US" w:eastAsia="zh-CN"/>
        </w:rPr>
        <w:t>万元（</w:t>
      </w:r>
      <w:r>
        <w:rPr>
          <w:rFonts w:hint="eastAsia" w:ascii="仿宋" w:hAnsi="仿宋" w:eastAsia="仿宋" w:cs="仿宋"/>
          <w:color w:val="auto"/>
          <w:sz w:val="32"/>
          <w:lang w:eastAsia="zh-CN"/>
        </w:rPr>
        <w:t>伍佰肆拾陆万叁仟玖佰贰拾壹元整</w:t>
      </w:r>
      <w:r>
        <w:rPr>
          <w:rFonts w:hint="eastAsia" w:ascii="仿宋" w:hAnsi="仿宋" w:eastAsia="仿宋" w:cs="仿宋"/>
          <w:sz w:val="32"/>
          <w:szCs w:val="32"/>
          <w:highlight w:val="none"/>
          <w:lang w:val="en-US" w:eastAsia="zh-CN"/>
        </w:rPr>
        <w:t>）</w:t>
      </w:r>
      <w:r>
        <w:rPr>
          <w:rFonts w:hint="eastAsia" w:ascii="Times New Roman" w:hAnsi="Times New Roman" w:eastAsia="仿宋_GB2312" w:cs="Times New Roman"/>
          <w:color w:val="000000" w:themeColor="text1"/>
          <w:sz w:val="32"/>
          <w:szCs w:val="32"/>
          <w14:textFill>
            <w14:solidFill>
              <w14:schemeClr w14:val="tx1"/>
            </w14:solidFill>
          </w14:textFill>
        </w:rPr>
        <w:t>；</w:t>
      </w:r>
    </w:p>
    <w:p>
      <w:pPr>
        <w:spacing w:line="540"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宗地的挂牌起始价</w:t>
      </w:r>
      <w:r>
        <w:rPr>
          <w:rFonts w:hint="eastAsia" w:ascii="仿宋" w:hAnsi="仿宋" w:eastAsia="仿宋"/>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560" w:lineRule="exact"/>
        <w:ind w:left="0" w:leftChars="0" w:firstLine="640" w:firstLineChars="200"/>
        <w:textAlignment w:val="baseline"/>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地块一：546.3921</w:t>
      </w:r>
      <w:r>
        <w:rPr>
          <w:rFonts w:hint="eastAsia" w:ascii="仿宋" w:hAnsi="仿宋" w:eastAsia="仿宋" w:cs="仿宋"/>
          <w:sz w:val="32"/>
          <w:szCs w:val="32"/>
          <w:highlight w:val="none"/>
          <w:lang w:val="en-US" w:eastAsia="zh-CN"/>
        </w:rPr>
        <w:t>万元（</w:t>
      </w:r>
      <w:r>
        <w:rPr>
          <w:rFonts w:hint="eastAsia" w:ascii="仿宋" w:hAnsi="仿宋" w:eastAsia="仿宋" w:cs="仿宋"/>
          <w:color w:val="auto"/>
          <w:sz w:val="32"/>
          <w:lang w:eastAsia="zh-CN"/>
        </w:rPr>
        <w:t>伍佰肆拾陆万叁仟玖佰贰拾壹元整</w:t>
      </w:r>
      <w:r>
        <w:rPr>
          <w:rFonts w:hint="eastAsia" w:ascii="仿宋" w:hAnsi="仿宋" w:eastAsia="仿宋" w:cs="仿宋"/>
          <w:sz w:val="32"/>
          <w:szCs w:val="32"/>
          <w:highlight w:val="none"/>
          <w:lang w:val="en-US" w:eastAsia="zh-CN"/>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增价幅度为每竞价一次增加人民币10万元（壹拾万元）；</w:t>
      </w:r>
    </w:p>
    <w:p>
      <w:pPr>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五、网上竞买申请流程</w:t>
      </w:r>
      <w:r>
        <w:rPr>
          <w:rFonts w:hint="eastAsia" w:ascii="仿宋" w:hAnsi="仿宋" w:eastAsia="仿宋"/>
          <w:color w:val="000000" w:themeColor="text1"/>
          <w:sz w:val="32"/>
          <w:szCs w:val="32"/>
          <w14:textFill>
            <w14:solidFill>
              <w14:schemeClr w14:val="tx1"/>
            </w14:solidFill>
          </w14:textFill>
        </w:rPr>
        <w:tab/>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（一）</w:t>
      </w:r>
      <w:r>
        <w:rPr>
          <w:rFonts w:hint="eastAsia" w:ascii="仿宋" w:hAnsi="仿宋" w:eastAsia="仿宋" w:cs="FangSong_GB2312"/>
          <w:bCs/>
          <w:color w:val="000000" w:themeColor="text1"/>
          <w:sz w:val="32"/>
          <w:szCs w:val="32"/>
          <w14:textFill>
            <w14:solidFill>
              <w14:schemeClr w14:val="tx1"/>
            </w14:solidFill>
          </w14:textFill>
        </w:rPr>
        <w:t>CA数字证书的获取及绑定</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bCs/>
          <w:color w:val="000000" w:themeColor="text1"/>
          <w:sz w:val="32"/>
          <w:szCs w:val="32"/>
          <w14:textFill>
            <w14:solidFill>
              <w14:schemeClr w14:val="tx1"/>
            </w14:solidFill>
          </w14:textFill>
        </w:rPr>
        <w:t>1、获取方式</w:t>
      </w:r>
    </w:p>
    <w:p>
      <w:pPr>
        <w:tabs>
          <w:tab w:val="left" w:pos="4380"/>
        </w:tabs>
        <w:spacing w:line="540" w:lineRule="exact"/>
        <w:ind w:left="0" w:firstLine="640" w:firstLineChars="200"/>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竞买人在报名期内登录“内蒙古自治区国土资源网上交易系统”使用CA证书获取预申购资源的竞买申请书。CA证书的办理流程详见乌海市公共资源交易中心网站办事指南中CA办理指南。</w:t>
      </w:r>
    </w:p>
    <w:p>
      <w:pPr>
        <w:tabs>
          <w:tab w:val="left" w:pos="4380"/>
        </w:tabs>
        <w:spacing w:line="540" w:lineRule="exact"/>
        <w:ind w:left="0" w:firstLine="640" w:firstLineChars="200"/>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2、CA数字证书驱动下载及系统绑定</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（1）在计算机上插入</w:t>
      </w:r>
      <w:r>
        <w:rPr>
          <w:rStyle w:val="17"/>
          <w:rFonts w:hint="eastAsia" w:ascii="仿宋" w:hAnsi="仿宋" w:eastAsia="仿宋"/>
          <w:b w:val="0"/>
          <w:color w:val="000000" w:themeColor="text1"/>
          <w:sz w:val="32"/>
          <w:szCs w:val="32"/>
          <w14:textFill>
            <w14:solidFill>
              <w14:schemeClr w14:val="tx1"/>
            </w14:solidFill>
          </w14:textFill>
        </w:rPr>
        <w:t>CA数字证书</w:t>
      </w:r>
      <w:r>
        <w:rPr>
          <w:rFonts w:hint="eastAsia" w:ascii="仿宋" w:hAnsi="仿宋" w:eastAsia="仿宋"/>
          <w:color w:val="000000" w:themeColor="text1"/>
          <w:sz w:val="32"/>
          <w:szCs w:val="32"/>
          <w14:textFill>
            <w14:solidFill>
              <w14:schemeClr w14:val="tx1"/>
            </w14:solidFill>
          </w14:textFill>
        </w:rPr>
        <w:t>，打开IE浏览器输入网址：http://110.16.70.81:8090/trade-engine/trade/index进入内蒙古自治区国土资源交易系统首页（IE浏览器版本不得低于IE10）；</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（2）点击“服务中心”，进入资料下载列表，在此可下载</w:t>
      </w:r>
      <w:r>
        <w:rPr>
          <w:rStyle w:val="17"/>
          <w:rFonts w:hint="eastAsia" w:ascii="仿宋" w:hAnsi="仿宋" w:eastAsia="仿宋"/>
          <w:b w:val="0"/>
          <w:color w:val="000000" w:themeColor="text1"/>
          <w:sz w:val="32"/>
          <w:szCs w:val="32"/>
          <w14:textFill>
            <w14:solidFill>
              <w14:schemeClr w14:val="tx1"/>
            </w14:solidFill>
          </w14:textFill>
        </w:rPr>
        <w:t>CA数字证书驱动</w:t>
      </w:r>
      <w:r>
        <w:rPr>
          <w:rFonts w:hint="eastAsia" w:ascii="仿宋" w:hAnsi="仿宋" w:eastAsia="仿宋"/>
          <w:color w:val="000000" w:themeColor="text1"/>
          <w:sz w:val="32"/>
          <w:szCs w:val="32"/>
          <w14:textFill>
            <w14:solidFill>
              <w14:schemeClr w14:val="tx1"/>
            </w14:solidFill>
          </w14:textFill>
        </w:rPr>
        <w:t>；</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（3）驱动安装完成后在“网上交易系统”左上方点击“请登录”按钮进入到系统登录页面，点击“互认平台认证登陆”，页面自动跳转至</w:t>
      </w:r>
      <w:r>
        <w:rPr>
          <w:rStyle w:val="17"/>
          <w:rFonts w:hint="eastAsia" w:ascii="仿宋" w:hAnsi="仿宋" w:eastAsia="仿宋"/>
          <w:b w:val="0"/>
          <w:color w:val="000000" w:themeColor="text1"/>
          <w:sz w:val="32"/>
          <w:szCs w:val="32"/>
          <w14:textFill>
            <w14:solidFill>
              <w14:schemeClr w14:val="tx1"/>
            </w14:solidFill>
          </w14:textFill>
        </w:rPr>
        <w:t>内蒙古自治区统一认证平台</w:t>
      </w:r>
      <w:r>
        <w:rPr>
          <w:rFonts w:hint="eastAsia" w:ascii="仿宋" w:hAnsi="仿宋" w:eastAsia="仿宋"/>
          <w:color w:val="000000" w:themeColor="text1"/>
          <w:sz w:val="32"/>
          <w:szCs w:val="32"/>
          <w14:textFill>
            <w14:solidFill>
              <w14:schemeClr w14:val="tx1"/>
            </w14:solidFill>
          </w14:textFill>
        </w:rPr>
        <w:t>，需先点击“互认平台认证登录”输入密码进行CA认证，最后点击“进入授权”按钮，登录成功。</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（二）本次土地挂牌出让采用网上竞买申请的方式，竞买人在报名期内插入CA数字证书使用IE浏览器（IE浏览器版本不得低于IE10）登录</w:t>
      </w:r>
      <w:r>
        <w:rPr>
          <w:rFonts w:hint="eastAsia" w:ascii="仿宋" w:hAnsi="仿宋" w:eastAsia="仿宋" w:cs="FangSong_GB2312"/>
          <w:color w:val="000000" w:themeColor="text1"/>
          <w:sz w:val="32"/>
          <w:szCs w:val="32"/>
          <w14:textFill>
            <w14:solidFill>
              <w14:schemeClr w14:val="tx1"/>
            </w14:solidFill>
          </w14:textFill>
        </w:rPr>
        <w:t>内蒙古自治区国土资源交易系统（http://110.16.70.81:8090/trade-engine/trade/index）</w:t>
      </w:r>
      <w:r>
        <w:rPr>
          <w:rFonts w:hint="eastAsia" w:ascii="仿宋" w:hAnsi="仿宋" w:eastAsia="仿宋"/>
          <w:color w:val="000000" w:themeColor="text1"/>
          <w:sz w:val="32"/>
          <w:szCs w:val="32"/>
          <w14:textFill>
            <w14:solidFill>
              <w14:schemeClr w14:val="tx1"/>
            </w14:solidFill>
          </w14:textFill>
        </w:rPr>
        <w:t>点击预申购的资源。</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（三）竞买申请书填写</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填写《竞买申请书》，填写完成后点击“下载签章文件”按钮，将签章文件保存至计算机。</w:t>
      </w:r>
    </w:p>
    <w:p>
      <w:pPr>
        <w:tabs>
          <w:tab w:val="left" w:pos="4380"/>
        </w:tabs>
        <w:spacing w:line="540" w:lineRule="exact"/>
        <w:ind w:left="0" w:firstLine="640" w:firstLineChars="200"/>
        <w:rPr>
          <w:rFonts w:ascii="仿宋" w:hAnsi="仿宋" w:eastAsia="仿宋" w:cs="FangSong_GB2312"/>
          <w:bCs/>
          <w:color w:val="000000" w:themeColor="text1"/>
          <w:sz w:val="32"/>
          <w:szCs w:val="32"/>
          <w14:textFill>
            <w14:solidFill>
              <w14:schemeClr w14:val="tx1"/>
            </w14:solidFill>
          </w14:textFill>
        </w:rPr>
      </w:pPr>
      <w:r>
        <w:rPr>
          <w:rFonts w:hint="eastAsia" w:ascii="仿宋" w:hAnsi="仿宋" w:eastAsia="仿宋" w:cs="FangSong_GB2312"/>
          <w:bCs/>
          <w:color w:val="000000" w:themeColor="text1"/>
          <w:sz w:val="32"/>
          <w:szCs w:val="32"/>
          <w14:textFill>
            <w14:solidFill>
              <w14:schemeClr w14:val="tx1"/>
            </w14:solidFill>
          </w14:textFill>
        </w:rPr>
        <w:t>1、在线签章</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填写完竞买申请书,点击“进行电子签章”按钮，进入电子签章的页面，点击页面上方的“文件下载”按钮，在控件中点击“打开”按钮打开下载的文件，点击控件中的“签章”按钮，输入CA数字证书密码,将章放置指定位置点击鼠标左键，签章完成会自动覆盖下载的文件；之后点击“文件保存”按钮,在弹出的窗口中选定签章后的文件,保存成功后将页面拉至底部,点击下一步。</w:t>
      </w:r>
    </w:p>
    <w:p>
      <w:pPr>
        <w:tabs>
          <w:tab w:val="left" w:pos="4380"/>
        </w:tabs>
        <w:spacing w:line="540" w:lineRule="exact"/>
        <w:ind w:left="0" w:firstLine="640" w:firstLineChars="200"/>
        <w:rPr>
          <w:rFonts w:ascii="仿宋" w:hAnsi="仿宋" w:eastAsia="仿宋" w:cs="FangSong_GB2312"/>
          <w:bCs/>
          <w:color w:val="000000" w:themeColor="text1"/>
          <w:sz w:val="32"/>
          <w:szCs w:val="32"/>
          <w14:textFill>
            <w14:solidFill>
              <w14:schemeClr w14:val="tx1"/>
            </w14:solidFill>
          </w14:textFill>
        </w:rPr>
      </w:pPr>
      <w:r>
        <w:rPr>
          <w:rFonts w:hint="eastAsia" w:ascii="仿宋" w:hAnsi="仿宋" w:eastAsia="仿宋" w:cs="FangSong_GB2312"/>
          <w:bCs/>
          <w:color w:val="000000" w:themeColor="text1"/>
          <w:sz w:val="32"/>
          <w:szCs w:val="32"/>
          <w14:textFill>
            <w14:solidFill>
              <w14:schemeClr w14:val="tx1"/>
            </w14:solidFill>
          </w14:textFill>
        </w:rPr>
        <w:t>2、保证金缴纳</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竞买人提交签章文件后，点击“选择银行”按钮选择银行，系统自动生成保证金交纳通知书，竞买人按照通知书中指定的保证金子账号将履约保证金足额交纳。交纳完成后回到交易系统内查看到账情况，获取竞买资格确认书，完成竞买申请。</w:t>
      </w:r>
    </w:p>
    <w:p>
      <w:pPr>
        <w:tabs>
          <w:tab w:val="left" w:pos="4380"/>
        </w:tabs>
        <w:spacing w:line="540" w:lineRule="exact"/>
        <w:ind w:left="0" w:firstLine="640" w:firstLineChars="200"/>
        <w:rPr>
          <w:rFonts w:ascii="仿宋" w:hAnsi="仿宋" w:eastAsia="仿宋"/>
          <w:bCs/>
          <w:color w:val="000000" w:themeColor="text1"/>
          <w:sz w:val="32"/>
          <w:szCs w:val="32"/>
          <w14:textFill>
            <w14:solidFill>
              <w14:schemeClr w14:val="tx1"/>
            </w14:solidFill>
          </w14:textFill>
        </w:rPr>
      </w:pPr>
      <w:r>
        <w:rPr>
          <w:rFonts w:hint="eastAsia" w:ascii="仿宋" w:hAnsi="仿宋" w:eastAsia="仿宋"/>
          <w:bCs/>
          <w:color w:val="000000" w:themeColor="text1"/>
          <w:sz w:val="32"/>
          <w:szCs w:val="32"/>
          <w14:textFill>
            <w14:solidFill>
              <w14:schemeClr w14:val="tx1"/>
            </w14:solidFill>
          </w14:textFill>
        </w:rPr>
        <w:t>注：如对系统操作存在疑问，可点击交易系统“服务中心”栏目下的“资料下载”功能下载用户操作手册。</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六、网上挂牌报价</w:t>
      </w:r>
    </w:p>
    <w:p>
      <w:pPr>
        <w:tabs>
          <w:tab w:val="left" w:pos="4380"/>
        </w:tabs>
        <w:spacing w:line="540" w:lineRule="exact"/>
        <w:ind w:left="0" w:firstLine="640" w:firstLineChars="200"/>
        <w:rPr>
          <w:rFonts w:ascii="仿宋" w:hAnsi="仿宋" w:eastAsia="仿宋"/>
          <w:color w:val="FF0000"/>
          <w:sz w:val="32"/>
          <w:szCs w:val="32"/>
        </w:rPr>
      </w:pPr>
      <w:r>
        <w:rPr>
          <w:rFonts w:hint="eastAsia" w:ascii="仿宋" w:hAnsi="仿宋" w:eastAsia="仿宋"/>
          <w:color w:val="000000" w:themeColor="text1"/>
          <w:sz w:val="32"/>
          <w:szCs w:val="32"/>
          <w14:textFill>
            <w14:solidFill>
              <w14:schemeClr w14:val="tx1"/>
            </w14:solidFill>
          </w14:textFill>
        </w:rPr>
        <w:t>（一）挂牌报价：资源进入挂牌期，竞买人插入CA数字证书登录“网上交易系统”，选择资源点击“竞买报价”按钮进入挂牌出价页面，按要求选择增加幅度的倍数，点击右下角“确认出价”按钮即可完成报价。</w:t>
      </w:r>
      <w:r>
        <w:rPr>
          <w:rFonts w:hint="eastAsia" w:ascii="仿宋" w:hAnsi="仿宋" w:eastAsia="仿宋"/>
          <w:color w:val="FF0000"/>
          <w:sz w:val="32"/>
          <w:szCs w:val="32"/>
          <w:shd w:val="clear" w:color="auto" w:fill="FFFFFF"/>
          <w:lang w:eastAsia="zh-CN"/>
        </w:rPr>
        <w:t>（</w:t>
      </w:r>
      <w:r>
        <w:rPr>
          <w:rFonts w:hint="eastAsia" w:ascii="仿宋" w:hAnsi="仿宋" w:eastAsia="仿宋"/>
          <w:color w:val="FF0000"/>
          <w:sz w:val="32"/>
          <w:szCs w:val="32"/>
          <w:shd w:val="clear" w:color="auto" w:fill="FFFFFF"/>
          <w:lang w:val="en-US" w:eastAsia="zh-CN"/>
        </w:rPr>
        <w:t>提示：竞买人报价后可以刷新页面确定报价是否成功，请不要连续点击报价按钮，避免重复报价）</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挂牌期内竞买人可以多次出价，每次报价必须按增价幅度的倍数报价且高于当前最高有效报价。</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（二）挂牌期确定预竞得人：挂牌期内只有一个竞买人报价且高于底价确定为预竞得人，报价低于底价不成交。资源挂牌期截止后，有两个以上的竞买人参与挂牌报价，系统进入限时竞价。</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特别提示：</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竞买人须在资源挂牌期间进行一次网上有效报价，才有资格参加之后的限时竞价环节，否则视为自动放弃竞买权。</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七、限时竞价</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（一）询问期：资源挂牌期截止后，有两个以上的竞买人参与挂牌报价，系统自动进入</w:t>
      </w:r>
      <w:r>
        <w:rPr>
          <w:rStyle w:val="17"/>
          <w:rFonts w:hint="eastAsia" w:ascii="仿宋" w:hAnsi="仿宋" w:eastAsia="仿宋"/>
          <w:b w:val="0"/>
          <w:color w:val="000000" w:themeColor="text1"/>
          <w:sz w:val="32"/>
          <w:szCs w:val="32"/>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分钟询问期，询问期结束后，进入限时竞价环节；</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（二）限时竞价：进入限时竞价环节的竞买人需在系统设定的倒计时时间内进行报价，报价应是增价幅度的倍数，系统以</w:t>
      </w:r>
      <w:r>
        <w:rPr>
          <w:rStyle w:val="17"/>
          <w:rFonts w:hint="eastAsia" w:ascii="仿宋" w:hAnsi="仿宋" w:eastAsia="仿宋"/>
          <w:b w:val="0"/>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分钟倒计时为竞价时限，如在</w:t>
      </w:r>
      <w:r>
        <w:rPr>
          <w:rStyle w:val="17"/>
          <w:rFonts w:hint="eastAsia" w:ascii="仿宋" w:hAnsi="仿宋" w:eastAsia="仿宋"/>
          <w:b w:val="0"/>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分钟倒计时内有新的报价，系统即从接受新报价之时起重置竞价时限，竞买人可参加新一轮的报价。</w:t>
      </w:r>
      <w:r>
        <w:rPr>
          <w:rStyle w:val="17"/>
          <w:rFonts w:hint="eastAsia" w:ascii="仿宋" w:hAnsi="仿宋" w:eastAsia="仿宋"/>
          <w:b w:val="0"/>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分钟倒计时内无人报价，则在该地块</w:t>
      </w:r>
      <w:r>
        <w:rPr>
          <w:rStyle w:val="17"/>
          <w:rFonts w:hint="eastAsia" w:ascii="仿宋" w:hAnsi="仿宋" w:eastAsia="仿宋"/>
          <w:b w:val="0"/>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分钟倒计时结束时自动关闭竞价通道，系统确定当前最高有效报价，限时竞价结束。</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确定预竞得人：限时竞价结束系统判定当前最高有效报价是否达到底价，不低于底价的确定为预竞得人；低于底价不成交。限时竞价中无人报价的，以挂牌交易截止时最高有效报价为最终报价确定其为预竞得人。</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（四）预竞得人登录“网上交易系统”在“个人中心-&gt;我的文档”中打印《国有土地使用权预成交确认书》。</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八、资质审查</w:t>
      </w:r>
    </w:p>
    <w:p>
      <w:pPr>
        <w:tabs>
          <w:tab w:val="left" w:pos="4380"/>
        </w:tabs>
        <w:spacing w:line="540" w:lineRule="exact"/>
        <w:ind w:left="0" w:firstLine="643" w:firstLineChars="200"/>
        <w:rPr>
          <w:rFonts w:hint="eastAsia"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预竞得人在系统签发《国有土地使用权预成交确认书》的2个工作日内，将企业营业执照</w:t>
      </w:r>
      <w:r>
        <w:rPr>
          <w:rFonts w:hint="eastAsia" w:ascii="仿宋" w:hAnsi="仿宋" w:eastAsia="仿宋"/>
          <w:b/>
          <w:bCs/>
          <w:color w:val="FF0000"/>
          <w:sz w:val="32"/>
          <w:szCs w:val="32"/>
        </w:rPr>
        <w:t>原件扫描件</w:t>
      </w:r>
      <w:r>
        <w:rPr>
          <w:rFonts w:hint="eastAsia" w:ascii="仿宋" w:hAnsi="仿宋" w:eastAsia="仿宋"/>
          <w:b/>
          <w:bCs/>
          <w:color w:val="000000" w:themeColor="text1"/>
          <w:sz w:val="32"/>
          <w:szCs w:val="32"/>
          <w14:textFill>
            <w14:solidFill>
              <w14:schemeClr w14:val="tx1"/>
            </w14:solidFill>
          </w14:textFill>
        </w:rPr>
        <w:t>、法定代表人身份证</w:t>
      </w:r>
      <w:r>
        <w:rPr>
          <w:rFonts w:hint="eastAsia" w:ascii="仿宋" w:hAnsi="仿宋" w:eastAsia="仿宋"/>
          <w:b/>
          <w:bCs/>
          <w:color w:val="FF0000"/>
          <w:sz w:val="32"/>
          <w:szCs w:val="32"/>
        </w:rPr>
        <w:t>原件扫描件</w:t>
      </w:r>
      <w:r>
        <w:rPr>
          <w:rFonts w:hint="eastAsia" w:ascii="仿宋" w:hAnsi="仿宋" w:eastAsia="仿宋"/>
          <w:b/>
          <w:bCs/>
          <w:color w:val="000000" w:themeColor="text1"/>
          <w:sz w:val="32"/>
          <w:szCs w:val="32"/>
          <w14:textFill>
            <w14:solidFill>
              <w14:schemeClr w14:val="tx1"/>
            </w14:solidFill>
          </w14:textFill>
        </w:rPr>
        <w:t>、如委托他人办理的须上传委托书及受托人身份证</w:t>
      </w:r>
      <w:r>
        <w:rPr>
          <w:rFonts w:hint="eastAsia" w:ascii="仿宋" w:hAnsi="仿宋" w:eastAsia="仿宋"/>
          <w:b/>
          <w:bCs/>
          <w:color w:val="FF0000"/>
          <w:sz w:val="32"/>
          <w:szCs w:val="32"/>
        </w:rPr>
        <w:t>原件扫描件</w:t>
      </w:r>
      <w:r>
        <w:rPr>
          <w:rFonts w:hint="eastAsia" w:ascii="仿宋" w:hAnsi="仿宋" w:eastAsia="仿宋"/>
          <w:b/>
          <w:bCs/>
          <w:color w:val="000000" w:themeColor="text1"/>
          <w:sz w:val="32"/>
          <w:szCs w:val="32"/>
          <w14:textFill>
            <w14:solidFill>
              <w14:schemeClr w14:val="tx1"/>
            </w14:solidFill>
          </w14:textFill>
        </w:rPr>
        <w:t>、《国有土地使用权预成交确认书》</w:t>
      </w:r>
      <w:r>
        <w:rPr>
          <w:rFonts w:hint="eastAsia" w:ascii="仿宋" w:hAnsi="仿宋" w:eastAsia="仿宋"/>
          <w:b/>
          <w:bCs/>
          <w:color w:val="000000" w:themeColor="text1"/>
          <w:sz w:val="32"/>
          <w:szCs w:val="32"/>
          <w:lang w:eastAsia="zh-CN"/>
          <w14:textFill>
            <w14:solidFill>
              <w14:schemeClr w14:val="tx1"/>
            </w14:solidFill>
          </w14:textFill>
        </w:rPr>
        <w:t>、</w:t>
      </w:r>
      <w:r>
        <w:rPr>
          <w:rFonts w:hint="eastAsia" w:ascii="仿宋" w:hAnsi="仿宋" w:eastAsia="仿宋"/>
          <w:b/>
          <w:bCs/>
          <w:color w:val="000000" w:themeColor="text1"/>
          <w:sz w:val="32"/>
          <w:szCs w:val="32"/>
          <w:lang w:val="en-US" w:eastAsia="zh-CN"/>
          <w14:textFill>
            <w14:solidFill>
              <w14:schemeClr w14:val="tx1"/>
            </w14:solidFill>
          </w14:textFill>
        </w:rPr>
        <w:t>保证金缴纳回执单</w:t>
      </w:r>
      <w:r>
        <w:rPr>
          <w:rFonts w:hint="eastAsia" w:ascii="仿宋" w:hAnsi="仿宋" w:eastAsia="仿宋"/>
          <w:b/>
          <w:bCs/>
          <w:color w:val="000000" w:themeColor="text1"/>
          <w:sz w:val="32"/>
          <w:szCs w:val="32"/>
          <w14:textFill>
            <w14:solidFill>
              <w14:schemeClr w14:val="tx1"/>
            </w14:solidFill>
          </w14:textFill>
        </w:rPr>
        <w:t>上传至交易系统。</w:t>
      </w:r>
      <w:r>
        <w:rPr>
          <w:rFonts w:hint="eastAsia" w:ascii="仿宋" w:hAnsi="仿宋" w:eastAsia="仿宋"/>
          <w:b/>
          <w:bCs/>
          <w:color w:val="FF0000"/>
          <w:sz w:val="32"/>
          <w:szCs w:val="32"/>
        </w:rPr>
        <w:t>房地产开发和商业用地，预竞得人须上传保证金不属于银行贷款、股东借款、转贷和募集资金的承诺书及商业金融机构的资信证明</w:t>
      </w:r>
      <w:r>
        <w:rPr>
          <w:rFonts w:hint="eastAsia" w:ascii="仿宋" w:hAnsi="仿宋" w:eastAsia="仿宋"/>
          <w:b/>
          <w:bCs/>
          <w:color w:val="000000" w:themeColor="text1"/>
          <w:sz w:val="32"/>
          <w:szCs w:val="32"/>
          <w14:textFill>
            <w14:solidFill>
              <w14:schemeClr w14:val="tx1"/>
            </w14:solidFill>
          </w14:textFill>
        </w:rPr>
        <w:t>。交易中心在线对其进行资格确认。 通过资格确认的，交易中心签发《成交确认书》，未通过资格确认的取消其竞得资格。</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九、成交确认</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在资格审查结束后，根据审查结果确定资源成交，竞得人持所需材料在公告约定时间内与出让人签订国有土地使用权成交确认书；未通过审核的取消其竞得资格。</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十、结果公示</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成交确认书签订后，出让人与交易机构10个工作日内在相关网站发布成交结果公示，公示期不少于5天。</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十一、保证金的处置</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交易公示结束后，未竞得人的保证金5个工作日原路退还至基本账户（不计利息），竞得人的保证金可转做国有土地使用权出让金。</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十二、</w:t>
      </w:r>
      <w:r>
        <w:rPr>
          <w:rFonts w:hint="eastAsia" w:ascii="仿宋" w:hAnsi="仿宋" w:eastAsia="仿宋"/>
          <w:color w:val="000000" w:themeColor="text1"/>
          <w:sz w:val="32"/>
          <w:szCs w:val="32"/>
          <w14:textFill>
            <w14:solidFill>
              <w14:schemeClr w14:val="tx1"/>
            </w14:solidFill>
          </w14:textFill>
        </w:rPr>
        <w:t>竞买人未按照公告及挂牌出让文件全部要求执行的，所造成的一切损失和法律后果由竞买人自行承担。</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十三、</w:t>
      </w:r>
      <w:r>
        <w:rPr>
          <w:rFonts w:hint="eastAsia" w:ascii="仿宋" w:hAnsi="仿宋" w:eastAsia="仿宋"/>
          <w:color w:val="000000" w:themeColor="text1"/>
          <w:sz w:val="32"/>
          <w:szCs w:val="32"/>
          <w14:textFill>
            <w14:solidFill>
              <w14:schemeClr w14:val="tx1"/>
            </w14:solidFill>
          </w14:textFill>
        </w:rPr>
        <w:t>竞买人在“网上交易系统”实施的所有行为，均由“网上交易系统”自动记录，视为竞买人真实或经合法授权的行为，该行为所引起的法律责任由竞买人承担。</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十四、</w:t>
      </w:r>
      <w:r>
        <w:rPr>
          <w:rFonts w:hint="eastAsia" w:ascii="仿宋" w:hAnsi="仿宋" w:eastAsia="仿宋"/>
          <w:color w:val="000000" w:themeColor="text1"/>
          <w:sz w:val="32"/>
          <w:szCs w:val="32"/>
          <w14:textFill>
            <w14:solidFill>
              <w14:schemeClr w14:val="tx1"/>
            </w14:solidFill>
          </w14:textFill>
        </w:rPr>
        <w:t>竞买人应当妥善保管数字证书和密码。因竞买人电脑操作系统被侵入或其他自身原因导致数字证书遗失或密码泄漏等造成的损失，由竞买人自行承担。</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十五、</w:t>
      </w:r>
      <w:r>
        <w:rPr>
          <w:rFonts w:hint="eastAsia" w:ascii="仿宋" w:hAnsi="仿宋" w:eastAsia="仿宋"/>
          <w:color w:val="000000" w:themeColor="text1"/>
          <w:sz w:val="32"/>
          <w:szCs w:val="32"/>
          <w14:textFill>
            <w14:solidFill>
              <w14:schemeClr w14:val="tx1"/>
            </w14:solidFill>
          </w14:textFill>
        </w:rPr>
        <w:t>竞买人在参与网上公开交易活动前，应当及时检查所使用的计算机系统，若计算机系统遭遇网络安全事故（包括黑客攻击、病毒入侵等）、网络堵塞和系统硬件故障等导致不能正常登录网上交易系统进行竞买申请、网上报价、限时竞价的，产生的后果由竞买人自行承担。</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十六、</w:t>
      </w:r>
      <w:r>
        <w:rPr>
          <w:rFonts w:hint="eastAsia" w:ascii="仿宋" w:hAnsi="仿宋" w:eastAsia="仿宋"/>
          <w:color w:val="000000" w:themeColor="text1"/>
          <w:sz w:val="32"/>
          <w:szCs w:val="32"/>
          <w14:textFill>
            <w14:solidFill>
              <w14:schemeClr w14:val="tx1"/>
            </w14:solidFill>
          </w14:textFill>
        </w:rPr>
        <w:t>有下列情形之一的，国有土地使用权交易行为应中止</w:t>
      </w:r>
      <w:r>
        <w:rPr>
          <w:rStyle w:val="17"/>
          <w:rFonts w:hint="eastAsia" w:ascii="仿宋" w:hAnsi="仿宋" w:eastAsia="仿宋"/>
          <w:b w:val="0"/>
          <w:color w:val="000000" w:themeColor="text1"/>
          <w:sz w:val="32"/>
          <w:szCs w:val="32"/>
          <w14:textFill>
            <w14:solidFill>
              <w14:schemeClr w14:val="tx1"/>
            </w14:solidFill>
          </w14:textFill>
        </w:rPr>
        <w:t>：</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（一）网上交易系统受到网络恶意入侵的；</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（二）因网上交易系统遭受破坏或发生电力、网络故障等不可抗力的非交易中心因素，导致网上交易系统不能正常运行的；</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（三）因不可抗力应当中止国有土地使用权交易的其他情形。</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国有土地使用权交易行为中止的原因消除后，应当及时恢复国有土地使用权交易。</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十七、</w:t>
      </w:r>
      <w:r>
        <w:rPr>
          <w:rFonts w:hint="eastAsia" w:ascii="仿宋" w:hAnsi="仿宋" w:eastAsia="仿宋"/>
          <w:color w:val="000000" w:themeColor="text1"/>
          <w:sz w:val="32"/>
          <w:szCs w:val="32"/>
          <w14:textFill>
            <w14:solidFill>
              <w14:schemeClr w14:val="tx1"/>
            </w14:solidFill>
          </w14:textFill>
        </w:rPr>
        <w:t>出现以下情形之一的即视为竞得人违约，出让人有权解除《成交确认书》，并取消竞得人的资格。</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（一）竞得人提供的资质条件证明文件虚假的；</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（二）竞得人隐瞒事实，恶意串通或采取其他非法手段竞得的；</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（三）竞得人拒绝签订《成交确认书》；</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（四）公示期间有举报且经调查核实属违法违规行为的。</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十八、</w:t>
      </w:r>
      <w:r>
        <w:rPr>
          <w:rFonts w:hint="eastAsia" w:ascii="仿宋" w:hAnsi="仿宋" w:eastAsia="仿宋"/>
          <w:color w:val="000000" w:themeColor="text1"/>
          <w:sz w:val="32"/>
          <w:szCs w:val="32"/>
          <w14:textFill>
            <w14:solidFill>
              <w14:schemeClr w14:val="tx1"/>
            </w14:solidFill>
          </w14:textFill>
        </w:rPr>
        <w:t>出让人对本《国有土地使用权挂牌出让须知》有最终解释权。</w:t>
      </w:r>
    </w:p>
    <w:p>
      <w:pPr>
        <w:pStyle w:val="12"/>
        <w:shd w:val="clear" w:color="auto" w:fill="FFFFFF"/>
        <w:spacing w:before="0" w:beforeAutospacing="0" w:after="0" w:afterAutospacing="0" w:line="540" w:lineRule="exact"/>
        <w:ind w:firstLine="200"/>
        <w:jc w:val="both"/>
        <w:rPr>
          <w:rStyle w:val="17"/>
          <w:rFonts w:ascii="仿宋" w:hAnsi="仿宋" w:eastAsia="仿宋"/>
          <w:b w:val="0"/>
          <w:color w:val="000000" w:themeColor="text1"/>
          <w:sz w:val="32"/>
          <w:szCs w:val="32"/>
          <w14:textFill>
            <w14:solidFill>
              <w14:schemeClr w14:val="tx1"/>
            </w14:solidFill>
          </w14:textFill>
        </w:rPr>
      </w:pPr>
    </w:p>
    <w:p>
      <w:pPr>
        <w:pStyle w:val="12"/>
        <w:shd w:val="clear" w:color="auto" w:fill="FFFFFF"/>
        <w:spacing w:before="0" w:beforeAutospacing="0" w:after="0" w:afterAutospacing="0" w:line="540" w:lineRule="exact"/>
        <w:ind w:firstLine="200"/>
        <w:jc w:val="both"/>
        <w:rPr>
          <w:rStyle w:val="17"/>
          <w:rFonts w:ascii="仿宋" w:hAnsi="仿宋" w:eastAsia="仿宋"/>
          <w:b w:val="0"/>
          <w:color w:val="000000" w:themeColor="text1"/>
          <w:sz w:val="32"/>
          <w:szCs w:val="32"/>
          <w14:textFill>
            <w14:solidFill>
              <w14:schemeClr w14:val="tx1"/>
            </w14:solidFill>
          </w14:textFill>
        </w:rPr>
      </w:pPr>
    </w:p>
    <w:p>
      <w:pPr>
        <w:pStyle w:val="12"/>
        <w:shd w:val="clear" w:color="auto" w:fill="FFFFFF"/>
        <w:spacing w:before="0" w:beforeAutospacing="0" w:after="0" w:afterAutospacing="0" w:line="540" w:lineRule="exact"/>
        <w:ind w:firstLine="200"/>
        <w:jc w:val="both"/>
        <w:rPr>
          <w:rStyle w:val="17"/>
          <w:rFonts w:ascii="仿宋" w:hAnsi="仿宋" w:eastAsia="仿宋"/>
          <w:b w:val="0"/>
          <w:color w:val="000000" w:themeColor="text1"/>
          <w:sz w:val="32"/>
          <w:szCs w:val="32"/>
          <w14:textFill>
            <w14:solidFill>
              <w14:schemeClr w14:val="tx1"/>
            </w14:solidFill>
          </w14:textFill>
        </w:rPr>
      </w:pPr>
    </w:p>
    <w:p>
      <w:pPr>
        <w:pStyle w:val="12"/>
        <w:shd w:val="clear" w:color="auto" w:fill="FFFFFF"/>
        <w:spacing w:before="0" w:beforeAutospacing="0" w:after="0" w:afterAutospacing="0" w:line="540" w:lineRule="exact"/>
        <w:ind w:firstLine="200"/>
        <w:jc w:val="both"/>
        <w:rPr>
          <w:rStyle w:val="17"/>
          <w:rFonts w:ascii="仿宋" w:hAnsi="仿宋" w:eastAsia="仿宋"/>
          <w:b w:val="0"/>
          <w:color w:val="000000" w:themeColor="text1"/>
          <w:sz w:val="32"/>
          <w:szCs w:val="32"/>
          <w14:textFill>
            <w14:solidFill>
              <w14:schemeClr w14:val="tx1"/>
            </w14:solidFill>
          </w14:textFill>
        </w:rPr>
      </w:pPr>
    </w:p>
    <w:p>
      <w:pPr>
        <w:pStyle w:val="12"/>
        <w:shd w:val="clear" w:color="auto" w:fill="FFFFFF"/>
        <w:spacing w:before="0" w:beforeAutospacing="0" w:after="0" w:afterAutospacing="0" w:line="540" w:lineRule="exact"/>
        <w:ind w:firstLine="200"/>
        <w:jc w:val="both"/>
        <w:rPr>
          <w:rStyle w:val="17"/>
          <w:rFonts w:ascii="仿宋" w:hAnsi="仿宋" w:eastAsia="仿宋"/>
          <w:b w:val="0"/>
          <w:color w:val="000000" w:themeColor="text1"/>
          <w:sz w:val="32"/>
          <w:szCs w:val="32"/>
          <w14:textFill>
            <w14:solidFill>
              <w14:schemeClr w14:val="tx1"/>
            </w14:solidFill>
          </w14:textFill>
        </w:rPr>
      </w:pPr>
    </w:p>
    <w:p>
      <w:pPr>
        <w:pStyle w:val="12"/>
        <w:shd w:val="clear" w:color="auto" w:fill="FFFFFF"/>
        <w:spacing w:before="0" w:beforeAutospacing="0" w:after="0" w:afterAutospacing="0" w:line="540" w:lineRule="exact"/>
        <w:ind w:firstLine="200"/>
        <w:jc w:val="right"/>
        <w:rPr>
          <w:rFonts w:ascii="仿宋" w:hAnsi="仿宋" w:eastAsia="仿宋"/>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乌海市公共资源交易中心</w:t>
      </w:r>
    </w:p>
    <w:p>
      <w:pPr>
        <w:pStyle w:val="12"/>
        <w:shd w:val="clear" w:color="auto" w:fill="FFFFFF"/>
        <w:spacing w:before="0" w:beforeAutospacing="0" w:after="0" w:afterAutospacing="0" w:line="540" w:lineRule="exact"/>
        <w:ind w:firstLine="6560" w:firstLineChars="2050"/>
        <w:jc w:val="both"/>
        <w:rPr>
          <w:rFonts w:ascii="仿宋" w:hAnsi="仿宋" w:eastAsia="仿宋"/>
          <w:color w:val="auto"/>
          <w:sz w:val="32"/>
          <w:szCs w:val="32"/>
          <w:highlight w:val="none"/>
        </w:rPr>
      </w:pP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FangSong_GB2312"/>
          <w:color w:val="auto"/>
          <w:sz w:val="32"/>
          <w:szCs w:val="32"/>
          <w:highlight w:val="none"/>
          <w:lang w:val="en-US" w:eastAsia="zh-CN"/>
        </w:rPr>
        <w:t>8</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17</w:t>
      </w:r>
      <w:r>
        <w:rPr>
          <w:rFonts w:hint="eastAsia" w:ascii="仿宋" w:hAnsi="仿宋" w:eastAsia="仿宋" w:cs="FangSong_GB2312"/>
          <w:color w:val="auto"/>
          <w:sz w:val="32"/>
          <w:szCs w:val="32"/>
          <w:highlight w:val="none"/>
        </w:rPr>
        <w:t>日</w:t>
      </w:r>
    </w:p>
    <w:p>
      <w:pPr>
        <w:pStyle w:val="12"/>
        <w:shd w:val="clear" w:color="auto" w:fill="FFFFFF"/>
        <w:spacing w:before="0" w:beforeAutospacing="0" w:after="0" w:afterAutospacing="0" w:line="540" w:lineRule="exact"/>
        <w:ind w:firstLine="6560" w:firstLineChars="2050"/>
        <w:jc w:val="both"/>
        <w:rPr>
          <w:rFonts w:ascii="仿宋" w:hAnsi="仿宋" w:eastAsia="仿宋"/>
          <w:color w:val="000000" w:themeColor="text1"/>
          <w:sz w:val="32"/>
          <w:szCs w:val="32"/>
          <w14:textFill>
            <w14:solidFill>
              <w14:schemeClr w14:val="tx1"/>
            </w14:solidFill>
          </w14:textFill>
        </w:rPr>
      </w:pPr>
    </w:p>
    <w:sectPr>
      <w:headerReference r:id="rId5" w:type="default"/>
      <w:footerReference r:id="rId7" w:type="default"/>
      <w:headerReference r:id="rId6" w:type="even"/>
      <w:footerReference r:id="rId8" w:type="even"/>
      <w:endnotePr>
        <w:numFmt w:val="ideographDigital"/>
      </w:endnotePr>
      <w:pgSz w:w="11905" w:h="16837"/>
      <w:pgMar w:top="737" w:right="1134" w:bottom="737" w:left="1134" w:header="567" w:footer="567"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5AEFD89-11AF-4B8F-B7F1-E119E763FAEE}"/>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3483E6DB-E9A8-46A8-8990-DAF787EC0E23}"/>
  </w:font>
  <w:font w:name="FangSong_GB2312">
    <w:altName w:val="仿宋_GB2312"/>
    <w:panose1 w:val="02010609060101010101"/>
    <w:charset w:val="00"/>
    <w:family w:val="roman"/>
    <w:pitch w:val="default"/>
    <w:sig w:usb0="00000000" w:usb1="00000000" w:usb2="00000000" w:usb3="00000000" w:csb0="00000000" w:csb1="00000000"/>
    <w:embedRegular r:id="rId3" w:fontKey="{511598AD-E4D7-4A85-824A-3C9A454B84CF}"/>
  </w:font>
  <w:font w:name="FangSong_GB2312falt">
    <w:altName w:val="微软雅黑"/>
    <w:panose1 w:val="00000000000000000000"/>
    <w:charset w:val="86"/>
    <w:family w:val="modern"/>
    <w:pitch w:val="default"/>
    <w:sig w:usb0="00000000" w:usb1="00000000" w:usb2="00000010" w:usb3="00000000" w:csb0="00040000" w:csb1="00000000"/>
    <w:embedRegular r:id="rId4" w:fontKey="{88BFA8EC-AE4C-46DD-9BCA-41C6305A8743}"/>
  </w:font>
  <w:font w:name="仿宋_GB2312">
    <w:panose1 w:val="02010609030101010101"/>
    <w:charset w:val="86"/>
    <w:family w:val="auto"/>
    <w:pitch w:val="default"/>
    <w:sig w:usb0="00000001" w:usb1="080E0000" w:usb2="00000000" w:usb3="00000000" w:csb0="00040000" w:csb1="00000000"/>
    <w:embedRegular r:id="rId5" w:fontKey="{7E9AB28F-A1EA-4F6C-A015-B2789EC07A1D}"/>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6" w:fontKey="{1B810298-DD9B-4FF2-91B6-DD11915B988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Align="top"/>
      <w:ind w:right="360" w:firstLine="360"/>
    </w:pPr>
  </w:p>
  <w:p>
    <w:pPr>
      <w:ind w:firstLine="8505" w:firstLineChars="4050"/>
    </w:pPr>
    <w:r>
      <w:fldChar w:fldCharType="begin"/>
    </w:r>
    <w:r>
      <w:instrText xml:space="preserve"> PAGE  </w:instrText>
    </w:r>
    <w:r>
      <w:fldChar w:fldCharType="separate"/>
    </w:r>
    <w:r>
      <w:t>- 1 -</w:t>
    </w:r>
    <w:r>
      <w:fldChar w:fldCharType="end"/>
    </w:r>
  </w:p>
  <w:p>
    <w:pPr>
      <w:spacing w:line="1" w:lineRule="atLeas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Align="top"/>
      <w:ind w:left="0" w:firstLine="0"/>
    </w:pPr>
    <w:r>
      <w:fldChar w:fldCharType="begin"/>
    </w:r>
    <w:r>
      <w:instrText xml:space="preserve"> PAGE  </w:instrText>
    </w:r>
    <w:r>
      <w:fldChar w:fldCharType="separate"/>
    </w:r>
    <w:r>
      <w:t>- 2 -</w:t>
    </w:r>
    <w:r>
      <w:fldChar w:fldCharType="end"/>
    </w:r>
  </w:p>
  <w:p>
    <w:pPr>
      <w:ind w:left="0" w:right="36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114300" distR="114300" simplePos="0" relativeHeight="251661312" behindDoc="1" locked="0" layoutInCell="1" allowOverlap="1">
              <wp:simplePos x="0" y="0"/>
              <wp:positionH relativeFrom="page">
                <wp:posOffset>719455</wp:posOffset>
              </wp:positionH>
              <wp:positionV relativeFrom="page">
                <wp:posOffset>359410</wp:posOffset>
              </wp:positionV>
              <wp:extent cx="6116320" cy="180340"/>
              <wp:effectExtent l="0" t="0" r="0" b="0"/>
              <wp:wrapNone/>
              <wp:docPr id="3" name="文本框 5"/>
              <wp:cNvGraphicFramePr/>
              <a:graphic xmlns:a="http://schemas.openxmlformats.org/drawingml/2006/main">
                <a:graphicData uri="http://schemas.microsoft.com/office/word/2010/wordprocessingShape">
                  <wps:wsp>
                    <wps:cNvSpPr txBox="1"/>
                    <wps:spPr>
                      <a:xfrm>
                        <a:off x="0" y="0"/>
                        <a:ext cx="6116320" cy="180340"/>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5" o:spid="_x0000_s1026" o:spt="202" type="#_x0000_t202" style="position:absolute;left:0pt;margin-left:56.65pt;margin-top:28.3pt;height:14.2pt;width:481.6pt;mso-position-horizontal-relative:page;mso-position-vertical-relative:page;z-index:-251655168;mso-width-relative:page;mso-height-relative:page;" filled="f" stroked="f" coordsize="21600,21600" o:gfxdata="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94oHbZAAAACgEAAA8AAAAAAAAAAQAgAAAAIgAAAGRycy9kb3ducmV2&#10;LnhtbFBLAQIUABQAAAAIAIdO4kBoClfiwgEAAJADAAAOAAAAAAAAAAEAIAAAACgBAABkcnMvZTJv&#10;RG9jLnhtbFBLBQYAAAAABgAGAFkBAABcBQAAAAA=&#10;">
              <v:fill on="f" focussize="0,0"/>
              <v:stroke on="f"/>
              <v:imagedata o:title=""/>
              <o:lock v:ext="edit" aspectratio="f"/>
              <v:textbox inset="1mm,1mm,1mm,1mm">
                <w:txbxContent>
                  <w:p>
                    <w:pPr>
                      <w:spacing w:line="334" w:lineRule="atLeast"/>
                      <w:ind w:firstLine="0"/>
                    </w:pP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719455</wp:posOffset>
              </wp:positionH>
              <wp:positionV relativeFrom="page">
                <wp:posOffset>10144760</wp:posOffset>
              </wp:positionV>
              <wp:extent cx="6116320" cy="179705"/>
              <wp:effectExtent l="0" t="0" r="0" b="0"/>
              <wp:wrapNone/>
              <wp:docPr id="4" name="文本框 6"/>
              <wp:cNvGraphicFramePr/>
              <a:graphic xmlns:a="http://schemas.openxmlformats.org/drawingml/2006/main">
                <a:graphicData uri="http://schemas.microsoft.com/office/word/2010/wordprocessingShape">
                  <wps:wsp>
                    <wps:cNvSpPr txBox="1"/>
                    <wps:spPr>
                      <a:xfrm>
                        <a:off x="0" y="0"/>
                        <a:ext cx="6116320" cy="179705"/>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6" o:spid="_x0000_s1026" o:spt="202" type="#_x0000_t202" style="position:absolute;left:0pt;margin-left:56.65pt;margin-top:798.8pt;height:14.15pt;width:481.6pt;mso-position-horizontal-relative:page;mso-position-vertical-relative:page;z-index:-251654144;mso-width-relative:page;mso-height-relative:page;" filled="f" stroked="f" coordsize="21600,21600" o:gfxdata="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mrw1/cAAAADgEAAA8AAAAAAAAAAQAgAAAAIgAAAGRycy9kb3du&#10;cmV2LnhtbFBLAQIUABQAAAAIAIdO4kACriO+wgEAAJADAAAOAAAAAAAAAAEAIAAAACsBAABkcnMv&#10;ZTJvRG9jLnhtbFBLBQYAAAAABgAGAFkBAABfBQAAAAA=&#10;">
              <v:fill on="f" focussize="0,0"/>
              <v:stroke on="f"/>
              <v:imagedata o:title=""/>
              <o:lock v:ext="edit" aspectratio="f"/>
              <v:textbox inset="1mm,1mm,1mm,1mm">
                <w:txbxContent>
                  <w:p>
                    <w:pPr>
                      <w:spacing w:line="334" w:lineRule="atLeast"/>
                      <w:ind w:firstLine="0"/>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114300" distR="114300" simplePos="0" relativeHeight="251659264" behindDoc="1" locked="0" layoutInCell="1" allowOverlap="1">
              <wp:simplePos x="0" y="0"/>
              <wp:positionH relativeFrom="page">
                <wp:posOffset>719455</wp:posOffset>
              </wp:positionH>
              <wp:positionV relativeFrom="page">
                <wp:posOffset>359410</wp:posOffset>
              </wp:positionV>
              <wp:extent cx="6116320" cy="180340"/>
              <wp:effectExtent l="0" t="0" r="0" b="0"/>
              <wp:wrapNone/>
              <wp:docPr id="1" name="文本框 2"/>
              <wp:cNvGraphicFramePr/>
              <a:graphic xmlns:a="http://schemas.openxmlformats.org/drawingml/2006/main">
                <a:graphicData uri="http://schemas.microsoft.com/office/word/2010/wordprocessingShape">
                  <wps:wsp>
                    <wps:cNvSpPr txBox="1"/>
                    <wps:spPr>
                      <a:xfrm>
                        <a:off x="0" y="0"/>
                        <a:ext cx="6116320" cy="180340"/>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2" o:spid="_x0000_s1026" o:spt="202" type="#_x0000_t202" style="position:absolute;left:0pt;margin-left:56.65pt;margin-top:28.3pt;height:14.2pt;width:481.6pt;mso-position-horizontal-relative:page;mso-position-vertical-relative:page;z-index:-251657216;mso-width-relative:page;mso-height-relative:page;" filled="f" stroked="f" coordsize="21600,21600" o:gfxdata="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94oHbZAAAACgEAAA8AAAAAAAAAAQAgAAAAIgAAAGRycy9kb3ducmV2&#10;LnhtbFBLAQIUABQAAAAIAIdO4kCgQUwFwgEAAJADAAAOAAAAAAAAAAEAIAAAACgBAABkcnMvZTJv&#10;RG9jLnhtbFBLBQYAAAAABgAGAFkBAABcBQAAAAA=&#10;">
              <v:fill on="f" focussize="0,0"/>
              <v:stroke on="f"/>
              <v:imagedata o:title=""/>
              <o:lock v:ext="edit" aspectratio="f"/>
              <v:textbox inset="1mm,1mm,1mm,1mm">
                <w:txbxContent>
                  <w:p>
                    <w:pPr>
                      <w:spacing w:line="334" w:lineRule="atLeast"/>
                      <w:ind w:firstLine="0"/>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719455</wp:posOffset>
              </wp:positionH>
              <wp:positionV relativeFrom="page">
                <wp:posOffset>10144760</wp:posOffset>
              </wp:positionV>
              <wp:extent cx="6116320" cy="179705"/>
              <wp:effectExtent l="0" t="0" r="0" b="0"/>
              <wp:wrapNone/>
              <wp:docPr id="2" name="文本框 3"/>
              <wp:cNvGraphicFramePr/>
              <a:graphic xmlns:a="http://schemas.openxmlformats.org/drawingml/2006/main">
                <a:graphicData uri="http://schemas.microsoft.com/office/word/2010/wordprocessingShape">
                  <wps:wsp>
                    <wps:cNvSpPr txBox="1"/>
                    <wps:spPr>
                      <a:xfrm>
                        <a:off x="0" y="0"/>
                        <a:ext cx="6116320" cy="179705"/>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3" o:spid="_x0000_s1026" o:spt="202" type="#_x0000_t202" style="position:absolute;left:0pt;margin-left:56.65pt;margin-top:798.8pt;height:14.15pt;width:481.6pt;mso-position-horizontal-relative:page;mso-position-vertical-relative:page;z-index:-251656192;mso-width-relative:page;mso-height-relative:page;" filled="f" stroked="f" coordsize="21600,21600" o:gfxdata="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avDX9wAAAAOAQAADwAAAAAAAAABACAAAAAiAAAAZHJzL2Rvd25y&#10;ZXYueG1sUEsBAhQAFAAAAAgAh07iQGCHSArBAQAAkAMAAA4AAAAAAAAAAQAgAAAAKwEAAGRycy9l&#10;Mm9Eb2MueG1sUEsFBgAAAAAGAAYAWQEAAF4FAAAAAA==&#10;">
              <v:fill on="f" focussize="0,0"/>
              <v:stroke on="f"/>
              <v:imagedata o:title=""/>
              <o:lock v:ext="edit" aspectratio="f"/>
              <v:textbox inset="1mm,1mm,1mm,1mm">
                <w:txbxContent>
                  <w:p>
                    <w:pPr>
                      <w:spacing w:line="334" w:lineRule="atLeast"/>
                      <w:ind w:firstLine="0"/>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0D7FC2"/>
    <w:multiLevelType w:val="singleLevel"/>
    <w:tmpl w:val="870D7FC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839"/>
  <w:doNotHyphenateCaps/>
  <w:evenAndOddHeaders w:val="1"/>
  <w:drawingGridHorizontalSpacing w:val="0"/>
  <w:drawingGridVerticalSpacing w:val="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footnotePr>
    <w:footnote w:id="0"/>
    <w:footnote w:id="1"/>
  </w:footnotePr>
  <w:endnotePr>
    <w:numFmt w:val="ideographDigital"/>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yNjgzMzdmYjMzMDExNDk3N2U2ZDlkMjVlNjE3ZDgifQ=="/>
    <w:docVar w:name="KSO_WPS_MARK_KEY" w:val="67e3e82b-30bf-40b2-b6f9-501b2b094da6"/>
  </w:docVars>
  <w:rsids>
    <w:rsidRoot w:val="00172A27"/>
    <w:rsid w:val="0000006B"/>
    <w:rsid w:val="00007762"/>
    <w:rsid w:val="00007854"/>
    <w:rsid w:val="0001394F"/>
    <w:rsid w:val="00015418"/>
    <w:rsid w:val="00016D91"/>
    <w:rsid w:val="0002146D"/>
    <w:rsid w:val="00021D7C"/>
    <w:rsid w:val="000241E5"/>
    <w:rsid w:val="000248DA"/>
    <w:rsid w:val="0003072E"/>
    <w:rsid w:val="00031921"/>
    <w:rsid w:val="00033D76"/>
    <w:rsid w:val="00034099"/>
    <w:rsid w:val="000346E9"/>
    <w:rsid w:val="00036CE6"/>
    <w:rsid w:val="00037F5F"/>
    <w:rsid w:val="000432BC"/>
    <w:rsid w:val="00044C1B"/>
    <w:rsid w:val="00045B77"/>
    <w:rsid w:val="00047060"/>
    <w:rsid w:val="000504F8"/>
    <w:rsid w:val="00055034"/>
    <w:rsid w:val="00055432"/>
    <w:rsid w:val="000559AB"/>
    <w:rsid w:val="00056060"/>
    <w:rsid w:val="000636A6"/>
    <w:rsid w:val="00063B89"/>
    <w:rsid w:val="00063F8F"/>
    <w:rsid w:val="00065479"/>
    <w:rsid w:val="0006702F"/>
    <w:rsid w:val="00067DBF"/>
    <w:rsid w:val="00070638"/>
    <w:rsid w:val="00075C37"/>
    <w:rsid w:val="00075E74"/>
    <w:rsid w:val="00076166"/>
    <w:rsid w:val="00076F9F"/>
    <w:rsid w:val="000773A3"/>
    <w:rsid w:val="0008471F"/>
    <w:rsid w:val="00085E5B"/>
    <w:rsid w:val="00087B8C"/>
    <w:rsid w:val="00092342"/>
    <w:rsid w:val="00092CC4"/>
    <w:rsid w:val="000961BE"/>
    <w:rsid w:val="000962C5"/>
    <w:rsid w:val="000A4243"/>
    <w:rsid w:val="000A5FFF"/>
    <w:rsid w:val="000B2F57"/>
    <w:rsid w:val="000B3F56"/>
    <w:rsid w:val="000B4F7D"/>
    <w:rsid w:val="000B5158"/>
    <w:rsid w:val="000B5884"/>
    <w:rsid w:val="000B74DD"/>
    <w:rsid w:val="000C33D4"/>
    <w:rsid w:val="000C3764"/>
    <w:rsid w:val="000C4394"/>
    <w:rsid w:val="000C5ADA"/>
    <w:rsid w:val="000D18E6"/>
    <w:rsid w:val="000D2100"/>
    <w:rsid w:val="000D2812"/>
    <w:rsid w:val="000D2AEF"/>
    <w:rsid w:val="000D47CF"/>
    <w:rsid w:val="000D5CE5"/>
    <w:rsid w:val="000D7E39"/>
    <w:rsid w:val="000E1628"/>
    <w:rsid w:val="000E1FC2"/>
    <w:rsid w:val="000E2D66"/>
    <w:rsid w:val="000F4AD6"/>
    <w:rsid w:val="000F5E64"/>
    <w:rsid w:val="0010359E"/>
    <w:rsid w:val="00106683"/>
    <w:rsid w:val="00106C3F"/>
    <w:rsid w:val="00107256"/>
    <w:rsid w:val="0011052F"/>
    <w:rsid w:val="00112335"/>
    <w:rsid w:val="00113A6F"/>
    <w:rsid w:val="0011625D"/>
    <w:rsid w:val="00117B5B"/>
    <w:rsid w:val="00120182"/>
    <w:rsid w:val="001225C1"/>
    <w:rsid w:val="00123A0E"/>
    <w:rsid w:val="00123C51"/>
    <w:rsid w:val="0012433C"/>
    <w:rsid w:val="00124A24"/>
    <w:rsid w:val="00126276"/>
    <w:rsid w:val="001265A3"/>
    <w:rsid w:val="001266C1"/>
    <w:rsid w:val="001279A9"/>
    <w:rsid w:val="00130129"/>
    <w:rsid w:val="00132492"/>
    <w:rsid w:val="001332A7"/>
    <w:rsid w:val="00133CE9"/>
    <w:rsid w:val="00136F33"/>
    <w:rsid w:val="001405A6"/>
    <w:rsid w:val="00140C02"/>
    <w:rsid w:val="00141C7B"/>
    <w:rsid w:val="001422A6"/>
    <w:rsid w:val="001449E2"/>
    <w:rsid w:val="00150B66"/>
    <w:rsid w:val="00150E51"/>
    <w:rsid w:val="001543CF"/>
    <w:rsid w:val="00162DAB"/>
    <w:rsid w:val="00165AD2"/>
    <w:rsid w:val="00166C34"/>
    <w:rsid w:val="00172A27"/>
    <w:rsid w:val="00173B3B"/>
    <w:rsid w:val="00177686"/>
    <w:rsid w:val="00180BB9"/>
    <w:rsid w:val="001814E7"/>
    <w:rsid w:val="00182448"/>
    <w:rsid w:val="001845E6"/>
    <w:rsid w:val="001867A7"/>
    <w:rsid w:val="00187121"/>
    <w:rsid w:val="00187464"/>
    <w:rsid w:val="00192C14"/>
    <w:rsid w:val="00197FCB"/>
    <w:rsid w:val="001A21E0"/>
    <w:rsid w:val="001A3305"/>
    <w:rsid w:val="001B16CB"/>
    <w:rsid w:val="001B35FD"/>
    <w:rsid w:val="001B5718"/>
    <w:rsid w:val="001B73C8"/>
    <w:rsid w:val="001C357D"/>
    <w:rsid w:val="001C3645"/>
    <w:rsid w:val="001C38F4"/>
    <w:rsid w:val="001C47A8"/>
    <w:rsid w:val="001C7F3C"/>
    <w:rsid w:val="001D1B9E"/>
    <w:rsid w:val="001D3725"/>
    <w:rsid w:val="001D37F8"/>
    <w:rsid w:val="001D582B"/>
    <w:rsid w:val="001D61C7"/>
    <w:rsid w:val="001D66B6"/>
    <w:rsid w:val="001D7AFC"/>
    <w:rsid w:val="001E525B"/>
    <w:rsid w:val="001E5555"/>
    <w:rsid w:val="001E6183"/>
    <w:rsid w:val="001E7FEC"/>
    <w:rsid w:val="001F1488"/>
    <w:rsid w:val="001F1A8E"/>
    <w:rsid w:val="001F3045"/>
    <w:rsid w:val="001F534F"/>
    <w:rsid w:val="001F777E"/>
    <w:rsid w:val="002005F0"/>
    <w:rsid w:val="00201BD3"/>
    <w:rsid w:val="002022E7"/>
    <w:rsid w:val="00202339"/>
    <w:rsid w:val="00202668"/>
    <w:rsid w:val="00202A9C"/>
    <w:rsid w:val="002067C8"/>
    <w:rsid w:val="00211A1A"/>
    <w:rsid w:val="00211C8B"/>
    <w:rsid w:val="00213086"/>
    <w:rsid w:val="00217B8B"/>
    <w:rsid w:val="00217E96"/>
    <w:rsid w:val="00223F59"/>
    <w:rsid w:val="00224B49"/>
    <w:rsid w:val="00227FC8"/>
    <w:rsid w:val="00231DAD"/>
    <w:rsid w:val="00231E37"/>
    <w:rsid w:val="00231F7E"/>
    <w:rsid w:val="002321CB"/>
    <w:rsid w:val="0023398F"/>
    <w:rsid w:val="00234701"/>
    <w:rsid w:val="002400AD"/>
    <w:rsid w:val="00240176"/>
    <w:rsid w:val="0024210E"/>
    <w:rsid w:val="0024388E"/>
    <w:rsid w:val="00245B27"/>
    <w:rsid w:val="00250184"/>
    <w:rsid w:val="00250227"/>
    <w:rsid w:val="00250448"/>
    <w:rsid w:val="00250D2D"/>
    <w:rsid w:val="00250E39"/>
    <w:rsid w:val="00253BD1"/>
    <w:rsid w:val="002543D6"/>
    <w:rsid w:val="002558FD"/>
    <w:rsid w:val="00256566"/>
    <w:rsid w:val="00257E8C"/>
    <w:rsid w:val="0026130D"/>
    <w:rsid w:val="002632AA"/>
    <w:rsid w:val="00263B2F"/>
    <w:rsid w:val="00264B73"/>
    <w:rsid w:val="00265E63"/>
    <w:rsid w:val="00273486"/>
    <w:rsid w:val="00273B44"/>
    <w:rsid w:val="00273D05"/>
    <w:rsid w:val="00274EBA"/>
    <w:rsid w:val="00274F29"/>
    <w:rsid w:val="002762AF"/>
    <w:rsid w:val="0027760B"/>
    <w:rsid w:val="00281383"/>
    <w:rsid w:val="00281C98"/>
    <w:rsid w:val="00282CD1"/>
    <w:rsid w:val="0028321A"/>
    <w:rsid w:val="0028441F"/>
    <w:rsid w:val="00284C04"/>
    <w:rsid w:val="002851D3"/>
    <w:rsid w:val="00286DEB"/>
    <w:rsid w:val="00286E95"/>
    <w:rsid w:val="00291432"/>
    <w:rsid w:val="0029287E"/>
    <w:rsid w:val="00293346"/>
    <w:rsid w:val="00294413"/>
    <w:rsid w:val="00295D73"/>
    <w:rsid w:val="00295D82"/>
    <w:rsid w:val="00296B94"/>
    <w:rsid w:val="0029741C"/>
    <w:rsid w:val="002A048D"/>
    <w:rsid w:val="002A0978"/>
    <w:rsid w:val="002A1EB4"/>
    <w:rsid w:val="002A2F79"/>
    <w:rsid w:val="002A30CD"/>
    <w:rsid w:val="002A3B5C"/>
    <w:rsid w:val="002B33DD"/>
    <w:rsid w:val="002B5FBB"/>
    <w:rsid w:val="002C1FA1"/>
    <w:rsid w:val="002C23B8"/>
    <w:rsid w:val="002C3CA2"/>
    <w:rsid w:val="002C5A17"/>
    <w:rsid w:val="002C7DBA"/>
    <w:rsid w:val="002D238A"/>
    <w:rsid w:val="002D2527"/>
    <w:rsid w:val="002D406F"/>
    <w:rsid w:val="002D53D4"/>
    <w:rsid w:val="002D5639"/>
    <w:rsid w:val="002D78A9"/>
    <w:rsid w:val="002E0029"/>
    <w:rsid w:val="002E11BB"/>
    <w:rsid w:val="002E1F2B"/>
    <w:rsid w:val="002E27A4"/>
    <w:rsid w:val="002E3327"/>
    <w:rsid w:val="002E5441"/>
    <w:rsid w:val="002E6527"/>
    <w:rsid w:val="002F1654"/>
    <w:rsid w:val="002F2FCA"/>
    <w:rsid w:val="002F3995"/>
    <w:rsid w:val="002F4982"/>
    <w:rsid w:val="002F5C54"/>
    <w:rsid w:val="002F6320"/>
    <w:rsid w:val="00300053"/>
    <w:rsid w:val="00300493"/>
    <w:rsid w:val="003006E5"/>
    <w:rsid w:val="003039C9"/>
    <w:rsid w:val="0030446F"/>
    <w:rsid w:val="003054A9"/>
    <w:rsid w:val="00305A29"/>
    <w:rsid w:val="003062E4"/>
    <w:rsid w:val="00310245"/>
    <w:rsid w:val="00312BF3"/>
    <w:rsid w:val="00313639"/>
    <w:rsid w:val="00315D20"/>
    <w:rsid w:val="00320837"/>
    <w:rsid w:val="00325559"/>
    <w:rsid w:val="00330D06"/>
    <w:rsid w:val="003310AA"/>
    <w:rsid w:val="003319EB"/>
    <w:rsid w:val="00334C1F"/>
    <w:rsid w:val="00335622"/>
    <w:rsid w:val="00345459"/>
    <w:rsid w:val="00345684"/>
    <w:rsid w:val="00345ED6"/>
    <w:rsid w:val="003543FE"/>
    <w:rsid w:val="0036172F"/>
    <w:rsid w:val="0036181B"/>
    <w:rsid w:val="00362189"/>
    <w:rsid w:val="003630DD"/>
    <w:rsid w:val="00363FEE"/>
    <w:rsid w:val="003706B0"/>
    <w:rsid w:val="0037245E"/>
    <w:rsid w:val="003768EF"/>
    <w:rsid w:val="00376FD7"/>
    <w:rsid w:val="00376FE4"/>
    <w:rsid w:val="00377348"/>
    <w:rsid w:val="00380E0C"/>
    <w:rsid w:val="00381DFA"/>
    <w:rsid w:val="003844CB"/>
    <w:rsid w:val="00384889"/>
    <w:rsid w:val="0038502B"/>
    <w:rsid w:val="00385983"/>
    <w:rsid w:val="00385E9A"/>
    <w:rsid w:val="00386A09"/>
    <w:rsid w:val="00390810"/>
    <w:rsid w:val="003959D7"/>
    <w:rsid w:val="003A140D"/>
    <w:rsid w:val="003A16E5"/>
    <w:rsid w:val="003A1A5C"/>
    <w:rsid w:val="003A36CE"/>
    <w:rsid w:val="003A59EE"/>
    <w:rsid w:val="003A629C"/>
    <w:rsid w:val="003A75C9"/>
    <w:rsid w:val="003B07FA"/>
    <w:rsid w:val="003B0836"/>
    <w:rsid w:val="003B118B"/>
    <w:rsid w:val="003B26F0"/>
    <w:rsid w:val="003B2B3B"/>
    <w:rsid w:val="003B2F7E"/>
    <w:rsid w:val="003B7FCC"/>
    <w:rsid w:val="003C19C4"/>
    <w:rsid w:val="003C215E"/>
    <w:rsid w:val="003C21E6"/>
    <w:rsid w:val="003C4FB1"/>
    <w:rsid w:val="003C60E4"/>
    <w:rsid w:val="003C6D93"/>
    <w:rsid w:val="003D054C"/>
    <w:rsid w:val="003D1C4F"/>
    <w:rsid w:val="003D1FAB"/>
    <w:rsid w:val="003D37C1"/>
    <w:rsid w:val="003D3A91"/>
    <w:rsid w:val="003D3EEB"/>
    <w:rsid w:val="003D5064"/>
    <w:rsid w:val="003D5919"/>
    <w:rsid w:val="003D7068"/>
    <w:rsid w:val="003E01C9"/>
    <w:rsid w:val="003E1BCF"/>
    <w:rsid w:val="003E2F82"/>
    <w:rsid w:val="003E2FA1"/>
    <w:rsid w:val="003E4713"/>
    <w:rsid w:val="003E49C0"/>
    <w:rsid w:val="003E49F8"/>
    <w:rsid w:val="003E5612"/>
    <w:rsid w:val="003E5F34"/>
    <w:rsid w:val="003F10C5"/>
    <w:rsid w:val="003F162F"/>
    <w:rsid w:val="003F232E"/>
    <w:rsid w:val="003F448C"/>
    <w:rsid w:val="003F633C"/>
    <w:rsid w:val="003F6D55"/>
    <w:rsid w:val="00400689"/>
    <w:rsid w:val="00401453"/>
    <w:rsid w:val="00402889"/>
    <w:rsid w:val="00402B66"/>
    <w:rsid w:val="004050F4"/>
    <w:rsid w:val="00407A38"/>
    <w:rsid w:val="00410BD4"/>
    <w:rsid w:val="00410EC3"/>
    <w:rsid w:val="004110CC"/>
    <w:rsid w:val="00413C95"/>
    <w:rsid w:val="00413D18"/>
    <w:rsid w:val="004145CB"/>
    <w:rsid w:val="004154E2"/>
    <w:rsid w:val="00416059"/>
    <w:rsid w:val="0042011F"/>
    <w:rsid w:val="00421063"/>
    <w:rsid w:val="00422E58"/>
    <w:rsid w:val="004246D5"/>
    <w:rsid w:val="00426C34"/>
    <w:rsid w:val="00427BEC"/>
    <w:rsid w:val="00430793"/>
    <w:rsid w:val="00431E2B"/>
    <w:rsid w:val="00431FED"/>
    <w:rsid w:val="004322B0"/>
    <w:rsid w:val="004334FC"/>
    <w:rsid w:val="00434D1C"/>
    <w:rsid w:val="00437322"/>
    <w:rsid w:val="004405B6"/>
    <w:rsid w:val="00442356"/>
    <w:rsid w:val="00444607"/>
    <w:rsid w:val="004451D9"/>
    <w:rsid w:val="00447071"/>
    <w:rsid w:val="00447B7D"/>
    <w:rsid w:val="004500E7"/>
    <w:rsid w:val="00450EB1"/>
    <w:rsid w:val="00452930"/>
    <w:rsid w:val="00453949"/>
    <w:rsid w:val="00453F58"/>
    <w:rsid w:val="00455EEA"/>
    <w:rsid w:val="004571BD"/>
    <w:rsid w:val="00460CD6"/>
    <w:rsid w:val="00461792"/>
    <w:rsid w:val="0046201E"/>
    <w:rsid w:val="0046372B"/>
    <w:rsid w:val="00464125"/>
    <w:rsid w:val="00465987"/>
    <w:rsid w:val="00467CF1"/>
    <w:rsid w:val="00471C8F"/>
    <w:rsid w:val="00472054"/>
    <w:rsid w:val="00474024"/>
    <w:rsid w:val="00474B1F"/>
    <w:rsid w:val="00475192"/>
    <w:rsid w:val="0048032F"/>
    <w:rsid w:val="0048062A"/>
    <w:rsid w:val="0048077B"/>
    <w:rsid w:val="00482254"/>
    <w:rsid w:val="00482937"/>
    <w:rsid w:val="004839B4"/>
    <w:rsid w:val="00483E8B"/>
    <w:rsid w:val="004847EA"/>
    <w:rsid w:val="004852E3"/>
    <w:rsid w:val="004873C0"/>
    <w:rsid w:val="00487436"/>
    <w:rsid w:val="004875F2"/>
    <w:rsid w:val="004919D1"/>
    <w:rsid w:val="004919EF"/>
    <w:rsid w:val="00496BE1"/>
    <w:rsid w:val="004A1EDD"/>
    <w:rsid w:val="004A4270"/>
    <w:rsid w:val="004A6039"/>
    <w:rsid w:val="004A6B76"/>
    <w:rsid w:val="004A7933"/>
    <w:rsid w:val="004B106F"/>
    <w:rsid w:val="004B15B2"/>
    <w:rsid w:val="004B294B"/>
    <w:rsid w:val="004B69C2"/>
    <w:rsid w:val="004B76D7"/>
    <w:rsid w:val="004B782C"/>
    <w:rsid w:val="004C0596"/>
    <w:rsid w:val="004C15CD"/>
    <w:rsid w:val="004C41DE"/>
    <w:rsid w:val="004C64C2"/>
    <w:rsid w:val="004C7EB7"/>
    <w:rsid w:val="004D0820"/>
    <w:rsid w:val="004D0F50"/>
    <w:rsid w:val="004D3028"/>
    <w:rsid w:val="004D3CCE"/>
    <w:rsid w:val="004D55E8"/>
    <w:rsid w:val="004E057D"/>
    <w:rsid w:val="004E1B42"/>
    <w:rsid w:val="004E1F36"/>
    <w:rsid w:val="004E1F90"/>
    <w:rsid w:val="004E2A6C"/>
    <w:rsid w:val="004E4098"/>
    <w:rsid w:val="004E4F1A"/>
    <w:rsid w:val="004E5160"/>
    <w:rsid w:val="004E5579"/>
    <w:rsid w:val="004F2FE5"/>
    <w:rsid w:val="004F353A"/>
    <w:rsid w:val="004F5535"/>
    <w:rsid w:val="004F71D8"/>
    <w:rsid w:val="004F7795"/>
    <w:rsid w:val="00501143"/>
    <w:rsid w:val="00503AAF"/>
    <w:rsid w:val="00504538"/>
    <w:rsid w:val="005052EA"/>
    <w:rsid w:val="00505A1F"/>
    <w:rsid w:val="005061D2"/>
    <w:rsid w:val="005070C1"/>
    <w:rsid w:val="0051057C"/>
    <w:rsid w:val="005107DB"/>
    <w:rsid w:val="00512B57"/>
    <w:rsid w:val="005133EB"/>
    <w:rsid w:val="00513609"/>
    <w:rsid w:val="00515CEA"/>
    <w:rsid w:val="00517BAD"/>
    <w:rsid w:val="00522618"/>
    <w:rsid w:val="005240E5"/>
    <w:rsid w:val="00524C81"/>
    <w:rsid w:val="0052673F"/>
    <w:rsid w:val="005307E9"/>
    <w:rsid w:val="00531172"/>
    <w:rsid w:val="0053476D"/>
    <w:rsid w:val="00535F1C"/>
    <w:rsid w:val="0053742D"/>
    <w:rsid w:val="0054038E"/>
    <w:rsid w:val="005460CB"/>
    <w:rsid w:val="005465D2"/>
    <w:rsid w:val="005468B9"/>
    <w:rsid w:val="005540FB"/>
    <w:rsid w:val="005561A1"/>
    <w:rsid w:val="00556391"/>
    <w:rsid w:val="00556727"/>
    <w:rsid w:val="005567FC"/>
    <w:rsid w:val="005572D8"/>
    <w:rsid w:val="00560831"/>
    <w:rsid w:val="00560A52"/>
    <w:rsid w:val="0056194C"/>
    <w:rsid w:val="00563D4F"/>
    <w:rsid w:val="00564983"/>
    <w:rsid w:val="00564AC2"/>
    <w:rsid w:val="005665D4"/>
    <w:rsid w:val="005676CA"/>
    <w:rsid w:val="00570C5E"/>
    <w:rsid w:val="00572AB3"/>
    <w:rsid w:val="005738A7"/>
    <w:rsid w:val="00574A63"/>
    <w:rsid w:val="005756CC"/>
    <w:rsid w:val="00576F5E"/>
    <w:rsid w:val="00581FA6"/>
    <w:rsid w:val="00583615"/>
    <w:rsid w:val="00584521"/>
    <w:rsid w:val="00584FBE"/>
    <w:rsid w:val="00586BB0"/>
    <w:rsid w:val="00590390"/>
    <w:rsid w:val="00590D1D"/>
    <w:rsid w:val="00591394"/>
    <w:rsid w:val="00593923"/>
    <w:rsid w:val="00594B58"/>
    <w:rsid w:val="00596478"/>
    <w:rsid w:val="00596F3D"/>
    <w:rsid w:val="005A22EB"/>
    <w:rsid w:val="005A28BB"/>
    <w:rsid w:val="005A2FDC"/>
    <w:rsid w:val="005A300B"/>
    <w:rsid w:val="005A4442"/>
    <w:rsid w:val="005A4E48"/>
    <w:rsid w:val="005B003E"/>
    <w:rsid w:val="005B13F4"/>
    <w:rsid w:val="005B2E38"/>
    <w:rsid w:val="005B4552"/>
    <w:rsid w:val="005B5D03"/>
    <w:rsid w:val="005C0459"/>
    <w:rsid w:val="005C159D"/>
    <w:rsid w:val="005C270E"/>
    <w:rsid w:val="005C41CE"/>
    <w:rsid w:val="005C550D"/>
    <w:rsid w:val="005C6279"/>
    <w:rsid w:val="005C6D85"/>
    <w:rsid w:val="005C7097"/>
    <w:rsid w:val="005C7881"/>
    <w:rsid w:val="005D014A"/>
    <w:rsid w:val="005D3990"/>
    <w:rsid w:val="005D5C2E"/>
    <w:rsid w:val="005E035C"/>
    <w:rsid w:val="005E33BB"/>
    <w:rsid w:val="005E6BCD"/>
    <w:rsid w:val="005E7B15"/>
    <w:rsid w:val="005F1AB7"/>
    <w:rsid w:val="005F20A8"/>
    <w:rsid w:val="005F36BF"/>
    <w:rsid w:val="005F522D"/>
    <w:rsid w:val="00600433"/>
    <w:rsid w:val="00601423"/>
    <w:rsid w:val="006017D3"/>
    <w:rsid w:val="00604521"/>
    <w:rsid w:val="006057D2"/>
    <w:rsid w:val="0060671B"/>
    <w:rsid w:val="00606C2E"/>
    <w:rsid w:val="00610336"/>
    <w:rsid w:val="006121A8"/>
    <w:rsid w:val="006146AB"/>
    <w:rsid w:val="0061567E"/>
    <w:rsid w:val="00617160"/>
    <w:rsid w:val="00617722"/>
    <w:rsid w:val="00620118"/>
    <w:rsid w:val="0062062D"/>
    <w:rsid w:val="006209C4"/>
    <w:rsid w:val="0062269D"/>
    <w:rsid w:val="006229F5"/>
    <w:rsid w:val="006248DC"/>
    <w:rsid w:val="00625666"/>
    <w:rsid w:val="006265B5"/>
    <w:rsid w:val="00633B95"/>
    <w:rsid w:val="006346C3"/>
    <w:rsid w:val="006362A7"/>
    <w:rsid w:val="00636DD7"/>
    <w:rsid w:val="006414DD"/>
    <w:rsid w:val="00641621"/>
    <w:rsid w:val="0064175C"/>
    <w:rsid w:val="0064556B"/>
    <w:rsid w:val="00645C3D"/>
    <w:rsid w:val="00651E45"/>
    <w:rsid w:val="006549B0"/>
    <w:rsid w:val="00655868"/>
    <w:rsid w:val="00655FEB"/>
    <w:rsid w:val="00656355"/>
    <w:rsid w:val="0065655A"/>
    <w:rsid w:val="00657A23"/>
    <w:rsid w:val="00660D24"/>
    <w:rsid w:val="00662AF6"/>
    <w:rsid w:val="00663C42"/>
    <w:rsid w:val="00664565"/>
    <w:rsid w:val="0066470A"/>
    <w:rsid w:val="00665695"/>
    <w:rsid w:val="0066570E"/>
    <w:rsid w:val="0066648A"/>
    <w:rsid w:val="0067080A"/>
    <w:rsid w:val="00672208"/>
    <w:rsid w:val="00672779"/>
    <w:rsid w:val="0067283C"/>
    <w:rsid w:val="006746D3"/>
    <w:rsid w:val="00676B8B"/>
    <w:rsid w:val="006771F9"/>
    <w:rsid w:val="00677B5D"/>
    <w:rsid w:val="006803F0"/>
    <w:rsid w:val="00680AF1"/>
    <w:rsid w:val="00681B67"/>
    <w:rsid w:val="00683447"/>
    <w:rsid w:val="00685453"/>
    <w:rsid w:val="00686846"/>
    <w:rsid w:val="00693CA1"/>
    <w:rsid w:val="00694D7E"/>
    <w:rsid w:val="006964AC"/>
    <w:rsid w:val="006A02DE"/>
    <w:rsid w:val="006A03E6"/>
    <w:rsid w:val="006A1730"/>
    <w:rsid w:val="006A19F9"/>
    <w:rsid w:val="006A27BE"/>
    <w:rsid w:val="006A3A69"/>
    <w:rsid w:val="006A479C"/>
    <w:rsid w:val="006A6EAB"/>
    <w:rsid w:val="006A7646"/>
    <w:rsid w:val="006B32AE"/>
    <w:rsid w:val="006B5145"/>
    <w:rsid w:val="006B5D9F"/>
    <w:rsid w:val="006B75FC"/>
    <w:rsid w:val="006B7D54"/>
    <w:rsid w:val="006C3549"/>
    <w:rsid w:val="006C5A14"/>
    <w:rsid w:val="006C726E"/>
    <w:rsid w:val="006C72E6"/>
    <w:rsid w:val="006C7806"/>
    <w:rsid w:val="006C7CAE"/>
    <w:rsid w:val="006D274F"/>
    <w:rsid w:val="006D35EC"/>
    <w:rsid w:val="006E3B8A"/>
    <w:rsid w:val="006E3BA0"/>
    <w:rsid w:val="006E696F"/>
    <w:rsid w:val="006F0245"/>
    <w:rsid w:val="006F0536"/>
    <w:rsid w:val="006F1C13"/>
    <w:rsid w:val="006F2C68"/>
    <w:rsid w:val="006F347C"/>
    <w:rsid w:val="00701317"/>
    <w:rsid w:val="00701E08"/>
    <w:rsid w:val="00702825"/>
    <w:rsid w:val="00705A1B"/>
    <w:rsid w:val="00712CB7"/>
    <w:rsid w:val="007144A5"/>
    <w:rsid w:val="0071622A"/>
    <w:rsid w:val="007202FF"/>
    <w:rsid w:val="00721479"/>
    <w:rsid w:val="00721EE2"/>
    <w:rsid w:val="00722DD2"/>
    <w:rsid w:val="00723D19"/>
    <w:rsid w:val="00725251"/>
    <w:rsid w:val="00726627"/>
    <w:rsid w:val="00727D19"/>
    <w:rsid w:val="00727E2E"/>
    <w:rsid w:val="00730435"/>
    <w:rsid w:val="007309A1"/>
    <w:rsid w:val="00730B07"/>
    <w:rsid w:val="00731C94"/>
    <w:rsid w:val="00735A40"/>
    <w:rsid w:val="0073724F"/>
    <w:rsid w:val="00740360"/>
    <w:rsid w:val="00741CC7"/>
    <w:rsid w:val="0074631B"/>
    <w:rsid w:val="007468A3"/>
    <w:rsid w:val="00747875"/>
    <w:rsid w:val="0075081E"/>
    <w:rsid w:val="00754C33"/>
    <w:rsid w:val="007562AA"/>
    <w:rsid w:val="007570BF"/>
    <w:rsid w:val="00760C09"/>
    <w:rsid w:val="00760E5D"/>
    <w:rsid w:val="00761214"/>
    <w:rsid w:val="0076423D"/>
    <w:rsid w:val="0076502B"/>
    <w:rsid w:val="00766310"/>
    <w:rsid w:val="00771468"/>
    <w:rsid w:val="007714A2"/>
    <w:rsid w:val="0077431D"/>
    <w:rsid w:val="00775066"/>
    <w:rsid w:val="00777890"/>
    <w:rsid w:val="007818BC"/>
    <w:rsid w:val="00793735"/>
    <w:rsid w:val="0079388A"/>
    <w:rsid w:val="00794096"/>
    <w:rsid w:val="00794615"/>
    <w:rsid w:val="007A03A2"/>
    <w:rsid w:val="007A0F86"/>
    <w:rsid w:val="007A102E"/>
    <w:rsid w:val="007A27D5"/>
    <w:rsid w:val="007A2B58"/>
    <w:rsid w:val="007A2DEF"/>
    <w:rsid w:val="007A36D9"/>
    <w:rsid w:val="007A4DB3"/>
    <w:rsid w:val="007A5B3F"/>
    <w:rsid w:val="007A5B94"/>
    <w:rsid w:val="007B5949"/>
    <w:rsid w:val="007B5DEE"/>
    <w:rsid w:val="007C22C8"/>
    <w:rsid w:val="007C270A"/>
    <w:rsid w:val="007C3052"/>
    <w:rsid w:val="007C43DE"/>
    <w:rsid w:val="007C4F8A"/>
    <w:rsid w:val="007D1B7B"/>
    <w:rsid w:val="007D295C"/>
    <w:rsid w:val="007D2C97"/>
    <w:rsid w:val="007D5C88"/>
    <w:rsid w:val="007D778A"/>
    <w:rsid w:val="007E059E"/>
    <w:rsid w:val="007E390B"/>
    <w:rsid w:val="007E3914"/>
    <w:rsid w:val="007E3DD0"/>
    <w:rsid w:val="007E50B9"/>
    <w:rsid w:val="007E5A34"/>
    <w:rsid w:val="007F0C99"/>
    <w:rsid w:val="007F0D35"/>
    <w:rsid w:val="007F1709"/>
    <w:rsid w:val="007F1D94"/>
    <w:rsid w:val="007F26C3"/>
    <w:rsid w:val="007F2B60"/>
    <w:rsid w:val="007F3105"/>
    <w:rsid w:val="007F3832"/>
    <w:rsid w:val="007F4EBC"/>
    <w:rsid w:val="007F5D1C"/>
    <w:rsid w:val="007F6594"/>
    <w:rsid w:val="007F759B"/>
    <w:rsid w:val="00800B1B"/>
    <w:rsid w:val="008065F0"/>
    <w:rsid w:val="00807F6B"/>
    <w:rsid w:val="00812115"/>
    <w:rsid w:val="00812993"/>
    <w:rsid w:val="008129CF"/>
    <w:rsid w:val="00813501"/>
    <w:rsid w:val="00813ADD"/>
    <w:rsid w:val="00814A73"/>
    <w:rsid w:val="00816A66"/>
    <w:rsid w:val="00816C62"/>
    <w:rsid w:val="0082147E"/>
    <w:rsid w:val="00821AA6"/>
    <w:rsid w:val="008254DD"/>
    <w:rsid w:val="00834838"/>
    <w:rsid w:val="00834C88"/>
    <w:rsid w:val="00840DB9"/>
    <w:rsid w:val="0084151D"/>
    <w:rsid w:val="00842CA0"/>
    <w:rsid w:val="008447DC"/>
    <w:rsid w:val="00845FB5"/>
    <w:rsid w:val="008470A6"/>
    <w:rsid w:val="00850D68"/>
    <w:rsid w:val="008557EF"/>
    <w:rsid w:val="00855814"/>
    <w:rsid w:val="00856ED4"/>
    <w:rsid w:val="0086012B"/>
    <w:rsid w:val="00860DA7"/>
    <w:rsid w:val="00862D26"/>
    <w:rsid w:val="00864668"/>
    <w:rsid w:val="00865CEB"/>
    <w:rsid w:val="00866A51"/>
    <w:rsid w:val="00866E60"/>
    <w:rsid w:val="00867D6D"/>
    <w:rsid w:val="008707B9"/>
    <w:rsid w:val="00872A79"/>
    <w:rsid w:val="008745A9"/>
    <w:rsid w:val="00877B2A"/>
    <w:rsid w:val="00880BF4"/>
    <w:rsid w:val="0088670E"/>
    <w:rsid w:val="00886A48"/>
    <w:rsid w:val="008872E6"/>
    <w:rsid w:val="0088746E"/>
    <w:rsid w:val="008939DD"/>
    <w:rsid w:val="0089515D"/>
    <w:rsid w:val="00897D65"/>
    <w:rsid w:val="008A008E"/>
    <w:rsid w:val="008A44B3"/>
    <w:rsid w:val="008A5984"/>
    <w:rsid w:val="008A73C0"/>
    <w:rsid w:val="008B1F2C"/>
    <w:rsid w:val="008B21A7"/>
    <w:rsid w:val="008B472F"/>
    <w:rsid w:val="008B5D93"/>
    <w:rsid w:val="008B6BC6"/>
    <w:rsid w:val="008C1839"/>
    <w:rsid w:val="008C3136"/>
    <w:rsid w:val="008C3337"/>
    <w:rsid w:val="008C35C3"/>
    <w:rsid w:val="008C4E4D"/>
    <w:rsid w:val="008C6D5D"/>
    <w:rsid w:val="008C7C65"/>
    <w:rsid w:val="008D0063"/>
    <w:rsid w:val="008D1211"/>
    <w:rsid w:val="008D2DF0"/>
    <w:rsid w:val="008D358A"/>
    <w:rsid w:val="008D3700"/>
    <w:rsid w:val="008E0C96"/>
    <w:rsid w:val="008E0CAE"/>
    <w:rsid w:val="008E2D27"/>
    <w:rsid w:val="008E2E5E"/>
    <w:rsid w:val="008E6B7A"/>
    <w:rsid w:val="008E6BB1"/>
    <w:rsid w:val="008E72B7"/>
    <w:rsid w:val="008E7F42"/>
    <w:rsid w:val="008F14DD"/>
    <w:rsid w:val="008F3320"/>
    <w:rsid w:val="008F3C48"/>
    <w:rsid w:val="008F6028"/>
    <w:rsid w:val="008F7FB8"/>
    <w:rsid w:val="00900C17"/>
    <w:rsid w:val="00904331"/>
    <w:rsid w:val="00905BE5"/>
    <w:rsid w:val="00906223"/>
    <w:rsid w:val="00910B0D"/>
    <w:rsid w:val="00910CA7"/>
    <w:rsid w:val="0091151C"/>
    <w:rsid w:val="00911729"/>
    <w:rsid w:val="0091428F"/>
    <w:rsid w:val="009155FD"/>
    <w:rsid w:val="009159B1"/>
    <w:rsid w:val="0092284A"/>
    <w:rsid w:val="00922B92"/>
    <w:rsid w:val="00922FF0"/>
    <w:rsid w:val="00923806"/>
    <w:rsid w:val="0092619C"/>
    <w:rsid w:val="009308CE"/>
    <w:rsid w:val="0093145E"/>
    <w:rsid w:val="00931D23"/>
    <w:rsid w:val="00934051"/>
    <w:rsid w:val="009342E5"/>
    <w:rsid w:val="00934FCB"/>
    <w:rsid w:val="009372FA"/>
    <w:rsid w:val="00941288"/>
    <w:rsid w:val="009414B2"/>
    <w:rsid w:val="009418E8"/>
    <w:rsid w:val="0094267F"/>
    <w:rsid w:val="009432DD"/>
    <w:rsid w:val="009444A0"/>
    <w:rsid w:val="00944ABB"/>
    <w:rsid w:val="00945868"/>
    <w:rsid w:val="00945D67"/>
    <w:rsid w:val="0094604C"/>
    <w:rsid w:val="00946166"/>
    <w:rsid w:val="00946F00"/>
    <w:rsid w:val="009515EA"/>
    <w:rsid w:val="00952C32"/>
    <w:rsid w:val="009574A1"/>
    <w:rsid w:val="0096079B"/>
    <w:rsid w:val="00960ED9"/>
    <w:rsid w:val="00961DAC"/>
    <w:rsid w:val="00962F6A"/>
    <w:rsid w:val="00963B6E"/>
    <w:rsid w:val="00964A46"/>
    <w:rsid w:val="009653AB"/>
    <w:rsid w:val="0096577C"/>
    <w:rsid w:val="00965E01"/>
    <w:rsid w:val="0096640C"/>
    <w:rsid w:val="0096734F"/>
    <w:rsid w:val="009707B3"/>
    <w:rsid w:val="00970BB8"/>
    <w:rsid w:val="00971EA0"/>
    <w:rsid w:val="00972614"/>
    <w:rsid w:val="00973297"/>
    <w:rsid w:val="0097650F"/>
    <w:rsid w:val="00977434"/>
    <w:rsid w:val="00981AB3"/>
    <w:rsid w:val="0098531D"/>
    <w:rsid w:val="00986884"/>
    <w:rsid w:val="009871B0"/>
    <w:rsid w:val="0099320C"/>
    <w:rsid w:val="009958D9"/>
    <w:rsid w:val="009A0406"/>
    <w:rsid w:val="009A22CD"/>
    <w:rsid w:val="009A286C"/>
    <w:rsid w:val="009A439B"/>
    <w:rsid w:val="009A587A"/>
    <w:rsid w:val="009A67A2"/>
    <w:rsid w:val="009A76D6"/>
    <w:rsid w:val="009A7DBB"/>
    <w:rsid w:val="009B0171"/>
    <w:rsid w:val="009B11E7"/>
    <w:rsid w:val="009B294F"/>
    <w:rsid w:val="009B6065"/>
    <w:rsid w:val="009B71BF"/>
    <w:rsid w:val="009C1C20"/>
    <w:rsid w:val="009C2525"/>
    <w:rsid w:val="009C3064"/>
    <w:rsid w:val="009C4CDC"/>
    <w:rsid w:val="009D0098"/>
    <w:rsid w:val="009D1A41"/>
    <w:rsid w:val="009D4250"/>
    <w:rsid w:val="009D470A"/>
    <w:rsid w:val="009D78C9"/>
    <w:rsid w:val="009E29BD"/>
    <w:rsid w:val="009E632D"/>
    <w:rsid w:val="009F0642"/>
    <w:rsid w:val="009F11BF"/>
    <w:rsid w:val="009F142F"/>
    <w:rsid w:val="009F31DB"/>
    <w:rsid w:val="009F4AA3"/>
    <w:rsid w:val="009F52D5"/>
    <w:rsid w:val="009F6473"/>
    <w:rsid w:val="009F66DA"/>
    <w:rsid w:val="009F6F63"/>
    <w:rsid w:val="00A00105"/>
    <w:rsid w:val="00A009D4"/>
    <w:rsid w:val="00A011F1"/>
    <w:rsid w:val="00A02122"/>
    <w:rsid w:val="00A02208"/>
    <w:rsid w:val="00A04FF3"/>
    <w:rsid w:val="00A057B8"/>
    <w:rsid w:val="00A06026"/>
    <w:rsid w:val="00A06860"/>
    <w:rsid w:val="00A06DA4"/>
    <w:rsid w:val="00A1163F"/>
    <w:rsid w:val="00A1256C"/>
    <w:rsid w:val="00A12B24"/>
    <w:rsid w:val="00A15147"/>
    <w:rsid w:val="00A159CC"/>
    <w:rsid w:val="00A23C54"/>
    <w:rsid w:val="00A250C7"/>
    <w:rsid w:val="00A25D40"/>
    <w:rsid w:val="00A32F67"/>
    <w:rsid w:val="00A33646"/>
    <w:rsid w:val="00A33FA1"/>
    <w:rsid w:val="00A34CA5"/>
    <w:rsid w:val="00A34EDD"/>
    <w:rsid w:val="00A3612E"/>
    <w:rsid w:val="00A37C1C"/>
    <w:rsid w:val="00A413C8"/>
    <w:rsid w:val="00A416B1"/>
    <w:rsid w:val="00A468B2"/>
    <w:rsid w:val="00A471E8"/>
    <w:rsid w:val="00A50016"/>
    <w:rsid w:val="00A50BA7"/>
    <w:rsid w:val="00A53CC7"/>
    <w:rsid w:val="00A6135D"/>
    <w:rsid w:val="00A616AB"/>
    <w:rsid w:val="00A61A35"/>
    <w:rsid w:val="00A61DE6"/>
    <w:rsid w:val="00A6373B"/>
    <w:rsid w:val="00A64A11"/>
    <w:rsid w:val="00A6513C"/>
    <w:rsid w:val="00A6550F"/>
    <w:rsid w:val="00A662A8"/>
    <w:rsid w:val="00A72630"/>
    <w:rsid w:val="00A76B34"/>
    <w:rsid w:val="00A76CAE"/>
    <w:rsid w:val="00A800FC"/>
    <w:rsid w:val="00A83A69"/>
    <w:rsid w:val="00A86270"/>
    <w:rsid w:val="00A903FD"/>
    <w:rsid w:val="00A919A2"/>
    <w:rsid w:val="00A94E62"/>
    <w:rsid w:val="00A95107"/>
    <w:rsid w:val="00A9557B"/>
    <w:rsid w:val="00A96359"/>
    <w:rsid w:val="00A970DB"/>
    <w:rsid w:val="00A97464"/>
    <w:rsid w:val="00AA00F6"/>
    <w:rsid w:val="00AA11DC"/>
    <w:rsid w:val="00AA3B87"/>
    <w:rsid w:val="00AA530C"/>
    <w:rsid w:val="00AA559B"/>
    <w:rsid w:val="00AB05A2"/>
    <w:rsid w:val="00AB142F"/>
    <w:rsid w:val="00AB162D"/>
    <w:rsid w:val="00AB22D8"/>
    <w:rsid w:val="00AB5DED"/>
    <w:rsid w:val="00AB5FD1"/>
    <w:rsid w:val="00AB6CA3"/>
    <w:rsid w:val="00AC26BE"/>
    <w:rsid w:val="00AC5175"/>
    <w:rsid w:val="00AC5FD3"/>
    <w:rsid w:val="00AC7D95"/>
    <w:rsid w:val="00AD0899"/>
    <w:rsid w:val="00AD17EC"/>
    <w:rsid w:val="00AD2512"/>
    <w:rsid w:val="00AD3B7F"/>
    <w:rsid w:val="00AD71C2"/>
    <w:rsid w:val="00AD7DBE"/>
    <w:rsid w:val="00AE28E1"/>
    <w:rsid w:val="00AE41EA"/>
    <w:rsid w:val="00AE582E"/>
    <w:rsid w:val="00AE6AB5"/>
    <w:rsid w:val="00AE7C5D"/>
    <w:rsid w:val="00AF0049"/>
    <w:rsid w:val="00AF3813"/>
    <w:rsid w:val="00AF3A92"/>
    <w:rsid w:val="00AF44A6"/>
    <w:rsid w:val="00AF6F84"/>
    <w:rsid w:val="00B0023E"/>
    <w:rsid w:val="00B00AB5"/>
    <w:rsid w:val="00B00F2B"/>
    <w:rsid w:val="00B03A77"/>
    <w:rsid w:val="00B10243"/>
    <w:rsid w:val="00B14830"/>
    <w:rsid w:val="00B163E3"/>
    <w:rsid w:val="00B16704"/>
    <w:rsid w:val="00B16EEC"/>
    <w:rsid w:val="00B17363"/>
    <w:rsid w:val="00B20DCF"/>
    <w:rsid w:val="00B221C6"/>
    <w:rsid w:val="00B23A73"/>
    <w:rsid w:val="00B23B95"/>
    <w:rsid w:val="00B308BA"/>
    <w:rsid w:val="00B31AA8"/>
    <w:rsid w:val="00B33B3C"/>
    <w:rsid w:val="00B349C1"/>
    <w:rsid w:val="00B34A0F"/>
    <w:rsid w:val="00B34CB5"/>
    <w:rsid w:val="00B36FEA"/>
    <w:rsid w:val="00B37B7B"/>
    <w:rsid w:val="00B40AC2"/>
    <w:rsid w:val="00B4153F"/>
    <w:rsid w:val="00B41E15"/>
    <w:rsid w:val="00B4669F"/>
    <w:rsid w:val="00B46EEA"/>
    <w:rsid w:val="00B523F7"/>
    <w:rsid w:val="00B53F24"/>
    <w:rsid w:val="00B54AC1"/>
    <w:rsid w:val="00B56502"/>
    <w:rsid w:val="00B569A7"/>
    <w:rsid w:val="00B6032A"/>
    <w:rsid w:val="00B612FE"/>
    <w:rsid w:val="00B62940"/>
    <w:rsid w:val="00B62A58"/>
    <w:rsid w:val="00B6476C"/>
    <w:rsid w:val="00B6759A"/>
    <w:rsid w:val="00B71D3F"/>
    <w:rsid w:val="00B7556C"/>
    <w:rsid w:val="00B8351B"/>
    <w:rsid w:val="00B84AC0"/>
    <w:rsid w:val="00B86924"/>
    <w:rsid w:val="00B873D3"/>
    <w:rsid w:val="00B90131"/>
    <w:rsid w:val="00B94112"/>
    <w:rsid w:val="00B971E3"/>
    <w:rsid w:val="00B973CC"/>
    <w:rsid w:val="00BA2519"/>
    <w:rsid w:val="00BA3EC5"/>
    <w:rsid w:val="00BA4AB5"/>
    <w:rsid w:val="00BA765D"/>
    <w:rsid w:val="00BB0680"/>
    <w:rsid w:val="00BB10F7"/>
    <w:rsid w:val="00BB1554"/>
    <w:rsid w:val="00BB34C1"/>
    <w:rsid w:val="00BB7DD4"/>
    <w:rsid w:val="00BC0869"/>
    <w:rsid w:val="00BC224D"/>
    <w:rsid w:val="00BC27B6"/>
    <w:rsid w:val="00BC4D76"/>
    <w:rsid w:val="00BC697A"/>
    <w:rsid w:val="00BC6ADA"/>
    <w:rsid w:val="00BD00D2"/>
    <w:rsid w:val="00BD076E"/>
    <w:rsid w:val="00BD3953"/>
    <w:rsid w:val="00BD41D0"/>
    <w:rsid w:val="00BD6A91"/>
    <w:rsid w:val="00BE13D1"/>
    <w:rsid w:val="00BE17D6"/>
    <w:rsid w:val="00BE32A3"/>
    <w:rsid w:val="00BE3861"/>
    <w:rsid w:val="00BE3D96"/>
    <w:rsid w:val="00BE3F9F"/>
    <w:rsid w:val="00BE42F9"/>
    <w:rsid w:val="00BE583A"/>
    <w:rsid w:val="00BF03A9"/>
    <w:rsid w:val="00BF1ECD"/>
    <w:rsid w:val="00BF511B"/>
    <w:rsid w:val="00C017E1"/>
    <w:rsid w:val="00C04038"/>
    <w:rsid w:val="00C051A9"/>
    <w:rsid w:val="00C06B43"/>
    <w:rsid w:val="00C07EBB"/>
    <w:rsid w:val="00C165E2"/>
    <w:rsid w:val="00C16FF7"/>
    <w:rsid w:val="00C172D6"/>
    <w:rsid w:val="00C17DA7"/>
    <w:rsid w:val="00C2172A"/>
    <w:rsid w:val="00C22016"/>
    <w:rsid w:val="00C227C7"/>
    <w:rsid w:val="00C23005"/>
    <w:rsid w:val="00C2544D"/>
    <w:rsid w:val="00C25590"/>
    <w:rsid w:val="00C3189E"/>
    <w:rsid w:val="00C32DCE"/>
    <w:rsid w:val="00C37327"/>
    <w:rsid w:val="00C41EA0"/>
    <w:rsid w:val="00C42EA2"/>
    <w:rsid w:val="00C51251"/>
    <w:rsid w:val="00C535ED"/>
    <w:rsid w:val="00C539B1"/>
    <w:rsid w:val="00C57B6B"/>
    <w:rsid w:val="00C6470D"/>
    <w:rsid w:val="00C71C9D"/>
    <w:rsid w:val="00C72EE6"/>
    <w:rsid w:val="00C769D3"/>
    <w:rsid w:val="00C81BE9"/>
    <w:rsid w:val="00C84A10"/>
    <w:rsid w:val="00C84B6D"/>
    <w:rsid w:val="00C86DEB"/>
    <w:rsid w:val="00C872CC"/>
    <w:rsid w:val="00C90B6E"/>
    <w:rsid w:val="00C914E0"/>
    <w:rsid w:val="00C92259"/>
    <w:rsid w:val="00C95256"/>
    <w:rsid w:val="00C95F68"/>
    <w:rsid w:val="00C978EB"/>
    <w:rsid w:val="00C97F49"/>
    <w:rsid w:val="00C97FEB"/>
    <w:rsid w:val="00CA26B2"/>
    <w:rsid w:val="00CA2D08"/>
    <w:rsid w:val="00CA337C"/>
    <w:rsid w:val="00CA663D"/>
    <w:rsid w:val="00CA68A8"/>
    <w:rsid w:val="00CB1CDB"/>
    <w:rsid w:val="00CB3ABD"/>
    <w:rsid w:val="00CB5A76"/>
    <w:rsid w:val="00CB5F9A"/>
    <w:rsid w:val="00CC15E9"/>
    <w:rsid w:val="00CC20DE"/>
    <w:rsid w:val="00CC73AC"/>
    <w:rsid w:val="00CC776A"/>
    <w:rsid w:val="00CD1739"/>
    <w:rsid w:val="00CD2AC7"/>
    <w:rsid w:val="00CD2DAF"/>
    <w:rsid w:val="00CD331A"/>
    <w:rsid w:val="00CD3805"/>
    <w:rsid w:val="00CD6289"/>
    <w:rsid w:val="00CE3146"/>
    <w:rsid w:val="00CE4150"/>
    <w:rsid w:val="00CE5F75"/>
    <w:rsid w:val="00CE6400"/>
    <w:rsid w:val="00CF4997"/>
    <w:rsid w:val="00CF5461"/>
    <w:rsid w:val="00D0087F"/>
    <w:rsid w:val="00D0191F"/>
    <w:rsid w:val="00D01A6A"/>
    <w:rsid w:val="00D05594"/>
    <w:rsid w:val="00D061DE"/>
    <w:rsid w:val="00D06F6A"/>
    <w:rsid w:val="00D10957"/>
    <w:rsid w:val="00D1120B"/>
    <w:rsid w:val="00D12281"/>
    <w:rsid w:val="00D203DC"/>
    <w:rsid w:val="00D2105A"/>
    <w:rsid w:val="00D21436"/>
    <w:rsid w:val="00D23894"/>
    <w:rsid w:val="00D23C82"/>
    <w:rsid w:val="00D24734"/>
    <w:rsid w:val="00D24976"/>
    <w:rsid w:val="00D257CA"/>
    <w:rsid w:val="00D267F2"/>
    <w:rsid w:val="00D276D2"/>
    <w:rsid w:val="00D35004"/>
    <w:rsid w:val="00D3524C"/>
    <w:rsid w:val="00D37F40"/>
    <w:rsid w:val="00D41798"/>
    <w:rsid w:val="00D42830"/>
    <w:rsid w:val="00D43E02"/>
    <w:rsid w:val="00D45CAE"/>
    <w:rsid w:val="00D536A9"/>
    <w:rsid w:val="00D53AAB"/>
    <w:rsid w:val="00D53EAC"/>
    <w:rsid w:val="00D54D3D"/>
    <w:rsid w:val="00D54EF8"/>
    <w:rsid w:val="00D56460"/>
    <w:rsid w:val="00D6070E"/>
    <w:rsid w:val="00D60BB4"/>
    <w:rsid w:val="00D63D21"/>
    <w:rsid w:val="00D63F77"/>
    <w:rsid w:val="00D66A33"/>
    <w:rsid w:val="00D70BFC"/>
    <w:rsid w:val="00D7369B"/>
    <w:rsid w:val="00D74FFE"/>
    <w:rsid w:val="00D77A36"/>
    <w:rsid w:val="00D81B15"/>
    <w:rsid w:val="00D8207C"/>
    <w:rsid w:val="00D84433"/>
    <w:rsid w:val="00D84D22"/>
    <w:rsid w:val="00D851CB"/>
    <w:rsid w:val="00D85A9A"/>
    <w:rsid w:val="00D863E0"/>
    <w:rsid w:val="00D8680A"/>
    <w:rsid w:val="00D8716A"/>
    <w:rsid w:val="00D94683"/>
    <w:rsid w:val="00D947DE"/>
    <w:rsid w:val="00D94D8B"/>
    <w:rsid w:val="00D958C4"/>
    <w:rsid w:val="00D95D2B"/>
    <w:rsid w:val="00D967F2"/>
    <w:rsid w:val="00D96C06"/>
    <w:rsid w:val="00D97F76"/>
    <w:rsid w:val="00DA04EE"/>
    <w:rsid w:val="00DA0943"/>
    <w:rsid w:val="00DA11E0"/>
    <w:rsid w:val="00DA2883"/>
    <w:rsid w:val="00DA310A"/>
    <w:rsid w:val="00DA39F9"/>
    <w:rsid w:val="00DA6522"/>
    <w:rsid w:val="00DB1857"/>
    <w:rsid w:val="00DB23DB"/>
    <w:rsid w:val="00DB3274"/>
    <w:rsid w:val="00DB39D2"/>
    <w:rsid w:val="00DB70F5"/>
    <w:rsid w:val="00DC1846"/>
    <w:rsid w:val="00DC1C51"/>
    <w:rsid w:val="00DC2548"/>
    <w:rsid w:val="00DC682E"/>
    <w:rsid w:val="00DD141C"/>
    <w:rsid w:val="00DD1952"/>
    <w:rsid w:val="00DD3631"/>
    <w:rsid w:val="00DD4AF4"/>
    <w:rsid w:val="00DD6F26"/>
    <w:rsid w:val="00DD7B00"/>
    <w:rsid w:val="00DE06EE"/>
    <w:rsid w:val="00DE2C5E"/>
    <w:rsid w:val="00DE3995"/>
    <w:rsid w:val="00DE5D26"/>
    <w:rsid w:val="00DE5E39"/>
    <w:rsid w:val="00DE6709"/>
    <w:rsid w:val="00DE752E"/>
    <w:rsid w:val="00DF0971"/>
    <w:rsid w:val="00DF1466"/>
    <w:rsid w:val="00DF26A2"/>
    <w:rsid w:val="00DF2945"/>
    <w:rsid w:val="00DF2D06"/>
    <w:rsid w:val="00DF2D2F"/>
    <w:rsid w:val="00DF434E"/>
    <w:rsid w:val="00DF437A"/>
    <w:rsid w:val="00DF4561"/>
    <w:rsid w:val="00DF537F"/>
    <w:rsid w:val="00DF67E5"/>
    <w:rsid w:val="00DF7FF7"/>
    <w:rsid w:val="00E03A03"/>
    <w:rsid w:val="00E07512"/>
    <w:rsid w:val="00E11FB4"/>
    <w:rsid w:val="00E145B4"/>
    <w:rsid w:val="00E2061F"/>
    <w:rsid w:val="00E2308F"/>
    <w:rsid w:val="00E23571"/>
    <w:rsid w:val="00E2485E"/>
    <w:rsid w:val="00E24F17"/>
    <w:rsid w:val="00E30BC9"/>
    <w:rsid w:val="00E32146"/>
    <w:rsid w:val="00E32F65"/>
    <w:rsid w:val="00E337FE"/>
    <w:rsid w:val="00E338DD"/>
    <w:rsid w:val="00E33E14"/>
    <w:rsid w:val="00E34799"/>
    <w:rsid w:val="00E3555B"/>
    <w:rsid w:val="00E400F5"/>
    <w:rsid w:val="00E410F1"/>
    <w:rsid w:val="00E41967"/>
    <w:rsid w:val="00E46BAD"/>
    <w:rsid w:val="00E47AF4"/>
    <w:rsid w:val="00E51DF5"/>
    <w:rsid w:val="00E5251F"/>
    <w:rsid w:val="00E52861"/>
    <w:rsid w:val="00E534E9"/>
    <w:rsid w:val="00E53896"/>
    <w:rsid w:val="00E54EFA"/>
    <w:rsid w:val="00E54F98"/>
    <w:rsid w:val="00E60021"/>
    <w:rsid w:val="00E61E3A"/>
    <w:rsid w:val="00E62E19"/>
    <w:rsid w:val="00E65858"/>
    <w:rsid w:val="00E6611D"/>
    <w:rsid w:val="00E66DF5"/>
    <w:rsid w:val="00E675DE"/>
    <w:rsid w:val="00E67D72"/>
    <w:rsid w:val="00E70389"/>
    <w:rsid w:val="00E709A8"/>
    <w:rsid w:val="00E718B7"/>
    <w:rsid w:val="00E75ADA"/>
    <w:rsid w:val="00E77154"/>
    <w:rsid w:val="00E81AB6"/>
    <w:rsid w:val="00E81E65"/>
    <w:rsid w:val="00E82A99"/>
    <w:rsid w:val="00E8359A"/>
    <w:rsid w:val="00E91A72"/>
    <w:rsid w:val="00E95989"/>
    <w:rsid w:val="00EA408C"/>
    <w:rsid w:val="00EA466C"/>
    <w:rsid w:val="00EA4C06"/>
    <w:rsid w:val="00EA6E02"/>
    <w:rsid w:val="00EB0A8F"/>
    <w:rsid w:val="00EB332E"/>
    <w:rsid w:val="00EB3E73"/>
    <w:rsid w:val="00EB6112"/>
    <w:rsid w:val="00EC071D"/>
    <w:rsid w:val="00EC0D88"/>
    <w:rsid w:val="00EC2C2F"/>
    <w:rsid w:val="00EC3D99"/>
    <w:rsid w:val="00EC465E"/>
    <w:rsid w:val="00EC5CA8"/>
    <w:rsid w:val="00EC6AC5"/>
    <w:rsid w:val="00ED2EE7"/>
    <w:rsid w:val="00ED3159"/>
    <w:rsid w:val="00ED3623"/>
    <w:rsid w:val="00ED387F"/>
    <w:rsid w:val="00ED714D"/>
    <w:rsid w:val="00EE2475"/>
    <w:rsid w:val="00EE26BB"/>
    <w:rsid w:val="00EE4867"/>
    <w:rsid w:val="00EE52CF"/>
    <w:rsid w:val="00EE5919"/>
    <w:rsid w:val="00EE59D9"/>
    <w:rsid w:val="00EE6418"/>
    <w:rsid w:val="00EF2193"/>
    <w:rsid w:val="00EF2778"/>
    <w:rsid w:val="00EF39EC"/>
    <w:rsid w:val="00EF3E22"/>
    <w:rsid w:val="00EF5C1E"/>
    <w:rsid w:val="00EF6E8A"/>
    <w:rsid w:val="00EF6EF0"/>
    <w:rsid w:val="00F00A27"/>
    <w:rsid w:val="00F00AD2"/>
    <w:rsid w:val="00F01D25"/>
    <w:rsid w:val="00F03239"/>
    <w:rsid w:val="00F06913"/>
    <w:rsid w:val="00F06B7C"/>
    <w:rsid w:val="00F12C91"/>
    <w:rsid w:val="00F16A13"/>
    <w:rsid w:val="00F23437"/>
    <w:rsid w:val="00F24AD1"/>
    <w:rsid w:val="00F24BC0"/>
    <w:rsid w:val="00F24FDE"/>
    <w:rsid w:val="00F265BE"/>
    <w:rsid w:val="00F265E9"/>
    <w:rsid w:val="00F271D8"/>
    <w:rsid w:val="00F32D28"/>
    <w:rsid w:val="00F3372C"/>
    <w:rsid w:val="00F3389B"/>
    <w:rsid w:val="00F34104"/>
    <w:rsid w:val="00F34C9E"/>
    <w:rsid w:val="00F350A1"/>
    <w:rsid w:val="00F36357"/>
    <w:rsid w:val="00F36FD1"/>
    <w:rsid w:val="00F4018F"/>
    <w:rsid w:val="00F4082D"/>
    <w:rsid w:val="00F40C05"/>
    <w:rsid w:val="00F41006"/>
    <w:rsid w:val="00F452BE"/>
    <w:rsid w:val="00F4546F"/>
    <w:rsid w:val="00F45532"/>
    <w:rsid w:val="00F45A0D"/>
    <w:rsid w:val="00F46138"/>
    <w:rsid w:val="00F4624E"/>
    <w:rsid w:val="00F46621"/>
    <w:rsid w:val="00F47C44"/>
    <w:rsid w:val="00F5086D"/>
    <w:rsid w:val="00F50FF3"/>
    <w:rsid w:val="00F517F2"/>
    <w:rsid w:val="00F526C5"/>
    <w:rsid w:val="00F53E79"/>
    <w:rsid w:val="00F54468"/>
    <w:rsid w:val="00F62DE4"/>
    <w:rsid w:val="00F635B0"/>
    <w:rsid w:val="00F649F4"/>
    <w:rsid w:val="00F64F49"/>
    <w:rsid w:val="00F6751F"/>
    <w:rsid w:val="00F700E6"/>
    <w:rsid w:val="00F70CE7"/>
    <w:rsid w:val="00F71234"/>
    <w:rsid w:val="00F73926"/>
    <w:rsid w:val="00F74A67"/>
    <w:rsid w:val="00F75107"/>
    <w:rsid w:val="00F76806"/>
    <w:rsid w:val="00F76922"/>
    <w:rsid w:val="00F80CEE"/>
    <w:rsid w:val="00F81F42"/>
    <w:rsid w:val="00F8443C"/>
    <w:rsid w:val="00F8478E"/>
    <w:rsid w:val="00F85065"/>
    <w:rsid w:val="00F86128"/>
    <w:rsid w:val="00F87398"/>
    <w:rsid w:val="00F91317"/>
    <w:rsid w:val="00F92628"/>
    <w:rsid w:val="00F94C70"/>
    <w:rsid w:val="00F97D8E"/>
    <w:rsid w:val="00FA04AF"/>
    <w:rsid w:val="00FA7784"/>
    <w:rsid w:val="00FB3EB4"/>
    <w:rsid w:val="00FB490B"/>
    <w:rsid w:val="00FB5CA1"/>
    <w:rsid w:val="00FB6BEB"/>
    <w:rsid w:val="00FB788B"/>
    <w:rsid w:val="00FC04B5"/>
    <w:rsid w:val="00FC2067"/>
    <w:rsid w:val="00FC2602"/>
    <w:rsid w:val="00FC28F7"/>
    <w:rsid w:val="00FC7EEE"/>
    <w:rsid w:val="00FD0D73"/>
    <w:rsid w:val="00FD3EA4"/>
    <w:rsid w:val="00FD6AAF"/>
    <w:rsid w:val="00FD7E50"/>
    <w:rsid w:val="00FE1F4F"/>
    <w:rsid w:val="00FE4C13"/>
    <w:rsid w:val="00FE7457"/>
    <w:rsid w:val="00FF2B27"/>
    <w:rsid w:val="00FF5264"/>
    <w:rsid w:val="00FF67FA"/>
    <w:rsid w:val="01FF4EDD"/>
    <w:rsid w:val="02233B6D"/>
    <w:rsid w:val="024600CB"/>
    <w:rsid w:val="028B18FB"/>
    <w:rsid w:val="029A7C8F"/>
    <w:rsid w:val="02A1111E"/>
    <w:rsid w:val="02DE5ECF"/>
    <w:rsid w:val="02E903CF"/>
    <w:rsid w:val="03012EB6"/>
    <w:rsid w:val="030C2C1F"/>
    <w:rsid w:val="034F46D6"/>
    <w:rsid w:val="03A82039"/>
    <w:rsid w:val="03E05C76"/>
    <w:rsid w:val="03FD0E3E"/>
    <w:rsid w:val="040F0053"/>
    <w:rsid w:val="041059C0"/>
    <w:rsid w:val="04115814"/>
    <w:rsid w:val="04194CE4"/>
    <w:rsid w:val="044E1C2B"/>
    <w:rsid w:val="044E3AFD"/>
    <w:rsid w:val="04640655"/>
    <w:rsid w:val="048A0CB8"/>
    <w:rsid w:val="049A3763"/>
    <w:rsid w:val="04BC5D9C"/>
    <w:rsid w:val="052851DF"/>
    <w:rsid w:val="05551D6C"/>
    <w:rsid w:val="05931291"/>
    <w:rsid w:val="05EC26B0"/>
    <w:rsid w:val="06734B80"/>
    <w:rsid w:val="06777248"/>
    <w:rsid w:val="06B63265"/>
    <w:rsid w:val="070D4BE1"/>
    <w:rsid w:val="07115CFE"/>
    <w:rsid w:val="07141709"/>
    <w:rsid w:val="07492231"/>
    <w:rsid w:val="074C630C"/>
    <w:rsid w:val="07647B82"/>
    <w:rsid w:val="07911761"/>
    <w:rsid w:val="07E31891"/>
    <w:rsid w:val="08046EC1"/>
    <w:rsid w:val="081E6D6D"/>
    <w:rsid w:val="086676EE"/>
    <w:rsid w:val="08A816CE"/>
    <w:rsid w:val="08B651F8"/>
    <w:rsid w:val="08BA0844"/>
    <w:rsid w:val="08E91C8E"/>
    <w:rsid w:val="090E293E"/>
    <w:rsid w:val="091C14FF"/>
    <w:rsid w:val="09554F7F"/>
    <w:rsid w:val="09AC5238"/>
    <w:rsid w:val="09B91E73"/>
    <w:rsid w:val="0A387A37"/>
    <w:rsid w:val="0B453DBF"/>
    <w:rsid w:val="0B6C7DF0"/>
    <w:rsid w:val="0BF7590B"/>
    <w:rsid w:val="0C3A6B50"/>
    <w:rsid w:val="0C525237"/>
    <w:rsid w:val="0C701580"/>
    <w:rsid w:val="0C7156BE"/>
    <w:rsid w:val="0C743330"/>
    <w:rsid w:val="0CBC55DD"/>
    <w:rsid w:val="0D4903E8"/>
    <w:rsid w:val="0D621DA0"/>
    <w:rsid w:val="0DD04666"/>
    <w:rsid w:val="0E175E4F"/>
    <w:rsid w:val="0E430E78"/>
    <w:rsid w:val="0E74336A"/>
    <w:rsid w:val="0F2D7016"/>
    <w:rsid w:val="0F3D3A4A"/>
    <w:rsid w:val="0F61151D"/>
    <w:rsid w:val="0F915630"/>
    <w:rsid w:val="0FBC682D"/>
    <w:rsid w:val="0FDA5E7C"/>
    <w:rsid w:val="0FE62886"/>
    <w:rsid w:val="0FF860F6"/>
    <w:rsid w:val="106169ED"/>
    <w:rsid w:val="106422A2"/>
    <w:rsid w:val="11020FDA"/>
    <w:rsid w:val="121C2B6E"/>
    <w:rsid w:val="121E6E1F"/>
    <w:rsid w:val="121F5BBC"/>
    <w:rsid w:val="124A5E7C"/>
    <w:rsid w:val="124F64A1"/>
    <w:rsid w:val="1283439D"/>
    <w:rsid w:val="12FD669C"/>
    <w:rsid w:val="13620456"/>
    <w:rsid w:val="139B3968"/>
    <w:rsid w:val="141C6857"/>
    <w:rsid w:val="145664B1"/>
    <w:rsid w:val="14956609"/>
    <w:rsid w:val="14B1541F"/>
    <w:rsid w:val="14CB202B"/>
    <w:rsid w:val="15406575"/>
    <w:rsid w:val="15681628"/>
    <w:rsid w:val="16133C89"/>
    <w:rsid w:val="1615355E"/>
    <w:rsid w:val="170F5060"/>
    <w:rsid w:val="175C3095"/>
    <w:rsid w:val="175E4A65"/>
    <w:rsid w:val="18000D5A"/>
    <w:rsid w:val="182A0D45"/>
    <w:rsid w:val="189A41EE"/>
    <w:rsid w:val="18CB2A86"/>
    <w:rsid w:val="18CF5571"/>
    <w:rsid w:val="18EC3795"/>
    <w:rsid w:val="1945669A"/>
    <w:rsid w:val="194D74B2"/>
    <w:rsid w:val="196D7CBC"/>
    <w:rsid w:val="19D1065C"/>
    <w:rsid w:val="1A0C2EC9"/>
    <w:rsid w:val="1A2F0966"/>
    <w:rsid w:val="1A654388"/>
    <w:rsid w:val="1A676352"/>
    <w:rsid w:val="1A6B5E42"/>
    <w:rsid w:val="1A713C1F"/>
    <w:rsid w:val="1AC506ED"/>
    <w:rsid w:val="1B067919"/>
    <w:rsid w:val="1B3A0A95"/>
    <w:rsid w:val="1B3A2F9D"/>
    <w:rsid w:val="1B3A3A66"/>
    <w:rsid w:val="1B3E3557"/>
    <w:rsid w:val="1B903686"/>
    <w:rsid w:val="1BAF0938"/>
    <w:rsid w:val="1BDD64C4"/>
    <w:rsid w:val="1C067028"/>
    <w:rsid w:val="1C3D1E77"/>
    <w:rsid w:val="1C661E6D"/>
    <w:rsid w:val="1D344C11"/>
    <w:rsid w:val="1D3B0967"/>
    <w:rsid w:val="1D935945"/>
    <w:rsid w:val="1DBD4B98"/>
    <w:rsid w:val="1DCF493A"/>
    <w:rsid w:val="1DEB1048"/>
    <w:rsid w:val="1DF22B3C"/>
    <w:rsid w:val="1E420CBE"/>
    <w:rsid w:val="1E6F3A27"/>
    <w:rsid w:val="1EBA7398"/>
    <w:rsid w:val="1EF06916"/>
    <w:rsid w:val="1F625C18"/>
    <w:rsid w:val="1F6B41EE"/>
    <w:rsid w:val="1F767E64"/>
    <w:rsid w:val="1F7F7E6A"/>
    <w:rsid w:val="1FB71B33"/>
    <w:rsid w:val="1FC9049C"/>
    <w:rsid w:val="1FF82CAC"/>
    <w:rsid w:val="202647F7"/>
    <w:rsid w:val="206A5224"/>
    <w:rsid w:val="20CF1F6B"/>
    <w:rsid w:val="20F31418"/>
    <w:rsid w:val="210C37AF"/>
    <w:rsid w:val="212E273D"/>
    <w:rsid w:val="21527B83"/>
    <w:rsid w:val="215A09BE"/>
    <w:rsid w:val="21AE55BF"/>
    <w:rsid w:val="21D32688"/>
    <w:rsid w:val="220973D9"/>
    <w:rsid w:val="227B707F"/>
    <w:rsid w:val="22CB5E23"/>
    <w:rsid w:val="22E42C35"/>
    <w:rsid w:val="23125D64"/>
    <w:rsid w:val="235F294A"/>
    <w:rsid w:val="23653452"/>
    <w:rsid w:val="23D55D20"/>
    <w:rsid w:val="23E443FD"/>
    <w:rsid w:val="23FB76B9"/>
    <w:rsid w:val="23FE3883"/>
    <w:rsid w:val="243634F3"/>
    <w:rsid w:val="246F478D"/>
    <w:rsid w:val="24AD1BC4"/>
    <w:rsid w:val="250A344E"/>
    <w:rsid w:val="25207829"/>
    <w:rsid w:val="252C4420"/>
    <w:rsid w:val="25590B49"/>
    <w:rsid w:val="258E50DA"/>
    <w:rsid w:val="259C1DC8"/>
    <w:rsid w:val="25DE3CBB"/>
    <w:rsid w:val="25E511E1"/>
    <w:rsid w:val="25EB42DB"/>
    <w:rsid w:val="265F25D3"/>
    <w:rsid w:val="26695200"/>
    <w:rsid w:val="266E4003"/>
    <w:rsid w:val="267A11BB"/>
    <w:rsid w:val="268812DB"/>
    <w:rsid w:val="269654E3"/>
    <w:rsid w:val="270B7AC8"/>
    <w:rsid w:val="270B7E24"/>
    <w:rsid w:val="27703550"/>
    <w:rsid w:val="27B801ED"/>
    <w:rsid w:val="28074CD0"/>
    <w:rsid w:val="2829733C"/>
    <w:rsid w:val="28425D08"/>
    <w:rsid w:val="28643ED1"/>
    <w:rsid w:val="28BB61E6"/>
    <w:rsid w:val="290F05C4"/>
    <w:rsid w:val="291D6D77"/>
    <w:rsid w:val="294D73CE"/>
    <w:rsid w:val="295D729E"/>
    <w:rsid w:val="29732316"/>
    <w:rsid w:val="2984009C"/>
    <w:rsid w:val="29862108"/>
    <w:rsid w:val="298F6472"/>
    <w:rsid w:val="2996630C"/>
    <w:rsid w:val="29FC015B"/>
    <w:rsid w:val="2A030B58"/>
    <w:rsid w:val="2A6428AE"/>
    <w:rsid w:val="2A7517C0"/>
    <w:rsid w:val="2A795E57"/>
    <w:rsid w:val="2AE80AD7"/>
    <w:rsid w:val="2AF272BD"/>
    <w:rsid w:val="2B32378E"/>
    <w:rsid w:val="2B8F3004"/>
    <w:rsid w:val="2BA54B0F"/>
    <w:rsid w:val="2BCF3D57"/>
    <w:rsid w:val="2C2B5431"/>
    <w:rsid w:val="2C93023E"/>
    <w:rsid w:val="2CC633AC"/>
    <w:rsid w:val="2D0A159E"/>
    <w:rsid w:val="2D7D772A"/>
    <w:rsid w:val="2D9C5EBB"/>
    <w:rsid w:val="2DE15604"/>
    <w:rsid w:val="2DF71C47"/>
    <w:rsid w:val="2E043D71"/>
    <w:rsid w:val="2E187C37"/>
    <w:rsid w:val="2E1A2CBD"/>
    <w:rsid w:val="2E24482E"/>
    <w:rsid w:val="2E8E6166"/>
    <w:rsid w:val="2EA9088F"/>
    <w:rsid w:val="2F422332"/>
    <w:rsid w:val="2F566C69"/>
    <w:rsid w:val="2F9B467C"/>
    <w:rsid w:val="2FEE50F3"/>
    <w:rsid w:val="304E5B92"/>
    <w:rsid w:val="305247DB"/>
    <w:rsid w:val="308415B4"/>
    <w:rsid w:val="309C34AC"/>
    <w:rsid w:val="309F60E3"/>
    <w:rsid w:val="30B04521"/>
    <w:rsid w:val="31230DCD"/>
    <w:rsid w:val="31485B61"/>
    <w:rsid w:val="315076E8"/>
    <w:rsid w:val="318B3424"/>
    <w:rsid w:val="31AF15DC"/>
    <w:rsid w:val="31B5579D"/>
    <w:rsid w:val="31D2190C"/>
    <w:rsid w:val="31E10DF1"/>
    <w:rsid w:val="3220530C"/>
    <w:rsid w:val="325244A3"/>
    <w:rsid w:val="32655415"/>
    <w:rsid w:val="32B70DC5"/>
    <w:rsid w:val="32D70A47"/>
    <w:rsid w:val="33016F86"/>
    <w:rsid w:val="33653D7A"/>
    <w:rsid w:val="33725B8E"/>
    <w:rsid w:val="33A27236"/>
    <w:rsid w:val="33C06508"/>
    <w:rsid w:val="34012F1B"/>
    <w:rsid w:val="340A662D"/>
    <w:rsid w:val="34360E17"/>
    <w:rsid w:val="34903798"/>
    <w:rsid w:val="34C2697F"/>
    <w:rsid w:val="35011425"/>
    <w:rsid w:val="35207CA0"/>
    <w:rsid w:val="35296DE4"/>
    <w:rsid w:val="355C181D"/>
    <w:rsid w:val="356F70AA"/>
    <w:rsid w:val="35A053D3"/>
    <w:rsid w:val="35A324DC"/>
    <w:rsid w:val="35AC25ED"/>
    <w:rsid w:val="35D11B70"/>
    <w:rsid w:val="362E3CD5"/>
    <w:rsid w:val="36354047"/>
    <w:rsid w:val="36C07B16"/>
    <w:rsid w:val="36CC15BF"/>
    <w:rsid w:val="36F11B9A"/>
    <w:rsid w:val="377A726D"/>
    <w:rsid w:val="37F7266B"/>
    <w:rsid w:val="38B4392F"/>
    <w:rsid w:val="38D07641"/>
    <w:rsid w:val="38F417C2"/>
    <w:rsid w:val="393345F4"/>
    <w:rsid w:val="393618B9"/>
    <w:rsid w:val="393A3157"/>
    <w:rsid w:val="39580A05"/>
    <w:rsid w:val="397F0B6A"/>
    <w:rsid w:val="39BA0B35"/>
    <w:rsid w:val="39D013C6"/>
    <w:rsid w:val="3A2F7D52"/>
    <w:rsid w:val="3A7868EF"/>
    <w:rsid w:val="3A8B3E85"/>
    <w:rsid w:val="3B092B44"/>
    <w:rsid w:val="3B0E03F8"/>
    <w:rsid w:val="3B405113"/>
    <w:rsid w:val="3B8B1A48"/>
    <w:rsid w:val="3BFC2946"/>
    <w:rsid w:val="3C3140AD"/>
    <w:rsid w:val="3C88242C"/>
    <w:rsid w:val="3CB55BF6"/>
    <w:rsid w:val="3D387D66"/>
    <w:rsid w:val="3E1034A1"/>
    <w:rsid w:val="3E1B36E3"/>
    <w:rsid w:val="3E447CFD"/>
    <w:rsid w:val="3EE3104E"/>
    <w:rsid w:val="3EE735A7"/>
    <w:rsid w:val="3F3A2CA1"/>
    <w:rsid w:val="3F830C89"/>
    <w:rsid w:val="3FB461A6"/>
    <w:rsid w:val="4021297B"/>
    <w:rsid w:val="403703F1"/>
    <w:rsid w:val="404B17A6"/>
    <w:rsid w:val="40DC6D8D"/>
    <w:rsid w:val="40DF5F72"/>
    <w:rsid w:val="40E52187"/>
    <w:rsid w:val="41087697"/>
    <w:rsid w:val="412A20B8"/>
    <w:rsid w:val="41872CB2"/>
    <w:rsid w:val="418E6E19"/>
    <w:rsid w:val="41A43864"/>
    <w:rsid w:val="42004812"/>
    <w:rsid w:val="420B0476"/>
    <w:rsid w:val="42156111"/>
    <w:rsid w:val="42894808"/>
    <w:rsid w:val="42BF022A"/>
    <w:rsid w:val="42D86298"/>
    <w:rsid w:val="42EE0B0F"/>
    <w:rsid w:val="43301FD6"/>
    <w:rsid w:val="436C4C92"/>
    <w:rsid w:val="43874EB8"/>
    <w:rsid w:val="439F739E"/>
    <w:rsid w:val="43AA2C88"/>
    <w:rsid w:val="43B65AD0"/>
    <w:rsid w:val="43C53EED"/>
    <w:rsid w:val="43DB1093"/>
    <w:rsid w:val="44086D9A"/>
    <w:rsid w:val="440B71BB"/>
    <w:rsid w:val="44123324"/>
    <w:rsid w:val="4441584C"/>
    <w:rsid w:val="444C65CD"/>
    <w:rsid w:val="444F4F3A"/>
    <w:rsid w:val="446E1C6F"/>
    <w:rsid w:val="44B2713F"/>
    <w:rsid w:val="44DF1057"/>
    <w:rsid w:val="44EF6B85"/>
    <w:rsid w:val="44F92825"/>
    <w:rsid w:val="4525470A"/>
    <w:rsid w:val="45372C41"/>
    <w:rsid w:val="45780F51"/>
    <w:rsid w:val="45C323F1"/>
    <w:rsid w:val="461B60BF"/>
    <w:rsid w:val="46301D91"/>
    <w:rsid w:val="466330FF"/>
    <w:rsid w:val="467363F8"/>
    <w:rsid w:val="46A47E62"/>
    <w:rsid w:val="46D52711"/>
    <w:rsid w:val="46DE5907"/>
    <w:rsid w:val="47310BC3"/>
    <w:rsid w:val="473968FE"/>
    <w:rsid w:val="474732F8"/>
    <w:rsid w:val="479E6FA7"/>
    <w:rsid w:val="47DA120A"/>
    <w:rsid w:val="485F7C46"/>
    <w:rsid w:val="490A052D"/>
    <w:rsid w:val="490C1CEF"/>
    <w:rsid w:val="493558F1"/>
    <w:rsid w:val="498E0956"/>
    <w:rsid w:val="49FC6E82"/>
    <w:rsid w:val="4A205CE4"/>
    <w:rsid w:val="4A54660D"/>
    <w:rsid w:val="4A8E6E5F"/>
    <w:rsid w:val="4AAE5753"/>
    <w:rsid w:val="4AC128C1"/>
    <w:rsid w:val="4AC436A6"/>
    <w:rsid w:val="4B3308B5"/>
    <w:rsid w:val="4B337875"/>
    <w:rsid w:val="4B5E0F69"/>
    <w:rsid w:val="4B727C4A"/>
    <w:rsid w:val="4C592403"/>
    <w:rsid w:val="4C827813"/>
    <w:rsid w:val="4C863DA4"/>
    <w:rsid w:val="4CC045EF"/>
    <w:rsid w:val="4CC56D43"/>
    <w:rsid w:val="4CF431C6"/>
    <w:rsid w:val="4D101657"/>
    <w:rsid w:val="4D166C24"/>
    <w:rsid w:val="4D2A484F"/>
    <w:rsid w:val="4D53613E"/>
    <w:rsid w:val="4D6B3488"/>
    <w:rsid w:val="4D862070"/>
    <w:rsid w:val="4D891B60"/>
    <w:rsid w:val="4DB43081"/>
    <w:rsid w:val="4E120E4F"/>
    <w:rsid w:val="4E121B55"/>
    <w:rsid w:val="4E6F32E9"/>
    <w:rsid w:val="4E766588"/>
    <w:rsid w:val="4EE15319"/>
    <w:rsid w:val="4F0973FC"/>
    <w:rsid w:val="4F400944"/>
    <w:rsid w:val="4F455F5A"/>
    <w:rsid w:val="4F460C2D"/>
    <w:rsid w:val="4F6860C3"/>
    <w:rsid w:val="4F755F96"/>
    <w:rsid w:val="4FCE7CFE"/>
    <w:rsid w:val="50DB56F2"/>
    <w:rsid w:val="513C488D"/>
    <w:rsid w:val="514A4DB9"/>
    <w:rsid w:val="5164091A"/>
    <w:rsid w:val="5176402F"/>
    <w:rsid w:val="51791EEB"/>
    <w:rsid w:val="52232583"/>
    <w:rsid w:val="524B1ADA"/>
    <w:rsid w:val="526B7E3F"/>
    <w:rsid w:val="52925AC1"/>
    <w:rsid w:val="52941907"/>
    <w:rsid w:val="52A925E8"/>
    <w:rsid w:val="52EB531A"/>
    <w:rsid w:val="534E30A1"/>
    <w:rsid w:val="53826985"/>
    <w:rsid w:val="53866166"/>
    <w:rsid w:val="538E7ED0"/>
    <w:rsid w:val="53BD07B5"/>
    <w:rsid w:val="53E27405"/>
    <w:rsid w:val="54090B2A"/>
    <w:rsid w:val="5427547C"/>
    <w:rsid w:val="549459BA"/>
    <w:rsid w:val="54B20F72"/>
    <w:rsid w:val="54B82E4B"/>
    <w:rsid w:val="54FD6961"/>
    <w:rsid w:val="550A1849"/>
    <w:rsid w:val="551B6DA4"/>
    <w:rsid w:val="552A1E7A"/>
    <w:rsid w:val="55340EE1"/>
    <w:rsid w:val="557F3887"/>
    <w:rsid w:val="55BD5204"/>
    <w:rsid w:val="55E71B19"/>
    <w:rsid w:val="55ED609A"/>
    <w:rsid w:val="56006F4E"/>
    <w:rsid w:val="560E354A"/>
    <w:rsid w:val="571C57F3"/>
    <w:rsid w:val="57684EDC"/>
    <w:rsid w:val="576F3AEF"/>
    <w:rsid w:val="577B5D8A"/>
    <w:rsid w:val="57893085"/>
    <w:rsid w:val="58922210"/>
    <w:rsid w:val="58FC3B2E"/>
    <w:rsid w:val="5939268C"/>
    <w:rsid w:val="597A34A2"/>
    <w:rsid w:val="59B05F22"/>
    <w:rsid w:val="59D76D95"/>
    <w:rsid w:val="59F20F41"/>
    <w:rsid w:val="59F24FDD"/>
    <w:rsid w:val="5ADE2F36"/>
    <w:rsid w:val="5AE42ACB"/>
    <w:rsid w:val="5B302D4D"/>
    <w:rsid w:val="5B575375"/>
    <w:rsid w:val="5B7E082A"/>
    <w:rsid w:val="5BD82630"/>
    <w:rsid w:val="5C000337"/>
    <w:rsid w:val="5C074CC3"/>
    <w:rsid w:val="5C133668"/>
    <w:rsid w:val="5C2B6D59"/>
    <w:rsid w:val="5C776D02"/>
    <w:rsid w:val="5C8B41AB"/>
    <w:rsid w:val="5CE943C9"/>
    <w:rsid w:val="5D177744"/>
    <w:rsid w:val="5D245C48"/>
    <w:rsid w:val="5D276328"/>
    <w:rsid w:val="5D423AD9"/>
    <w:rsid w:val="5D646D9A"/>
    <w:rsid w:val="5DB6074F"/>
    <w:rsid w:val="5E1C432A"/>
    <w:rsid w:val="5E337FF2"/>
    <w:rsid w:val="5E873E9A"/>
    <w:rsid w:val="5EA82788"/>
    <w:rsid w:val="5F0A4C2A"/>
    <w:rsid w:val="5F1806FA"/>
    <w:rsid w:val="5F23318E"/>
    <w:rsid w:val="5F264AF1"/>
    <w:rsid w:val="5F8B79B9"/>
    <w:rsid w:val="5FA62A45"/>
    <w:rsid w:val="5FB40CBE"/>
    <w:rsid w:val="5FDF615F"/>
    <w:rsid w:val="605162C2"/>
    <w:rsid w:val="60730B79"/>
    <w:rsid w:val="608F40A8"/>
    <w:rsid w:val="609355AC"/>
    <w:rsid w:val="60957D19"/>
    <w:rsid w:val="609B040A"/>
    <w:rsid w:val="60B116A2"/>
    <w:rsid w:val="60CC028A"/>
    <w:rsid w:val="61070188"/>
    <w:rsid w:val="61654438"/>
    <w:rsid w:val="61724406"/>
    <w:rsid w:val="619F2B1F"/>
    <w:rsid w:val="61C86D4A"/>
    <w:rsid w:val="61D05B58"/>
    <w:rsid w:val="62807BBC"/>
    <w:rsid w:val="62BB5EA5"/>
    <w:rsid w:val="62C751AC"/>
    <w:rsid w:val="62E47B0C"/>
    <w:rsid w:val="63193E36"/>
    <w:rsid w:val="631B1054"/>
    <w:rsid w:val="63844E4C"/>
    <w:rsid w:val="638A48B7"/>
    <w:rsid w:val="63BF40D6"/>
    <w:rsid w:val="63FA7E42"/>
    <w:rsid w:val="64047D3A"/>
    <w:rsid w:val="64852C29"/>
    <w:rsid w:val="64AE59F6"/>
    <w:rsid w:val="64CA4AE0"/>
    <w:rsid w:val="65653F4E"/>
    <w:rsid w:val="657F3B1C"/>
    <w:rsid w:val="65B56C0B"/>
    <w:rsid w:val="65C97631"/>
    <w:rsid w:val="65F21AB3"/>
    <w:rsid w:val="66251B68"/>
    <w:rsid w:val="66344907"/>
    <w:rsid w:val="66664CDC"/>
    <w:rsid w:val="667E3DD4"/>
    <w:rsid w:val="66D93700"/>
    <w:rsid w:val="67127912"/>
    <w:rsid w:val="671D6009"/>
    <w:rsid w:val="6732221A"/>
    <w:rsid w:val="674D1342"/>
    <w:rsid w:val="67762CFD"/>
    <w:rsid w:val="677874C4"/>
    <w:rsid w:val="68081645"/>
    <w:rsid w:val="681B4A8F"/>
    <w:rsid w:val="6849021F"/>
    <w:rsid w:val="687A3C05"/>
    <w:rsid w:val="68940414"/>
    <w:rsid w:val="68F95994"/>
    <w:rsid w:val="692C7B17"/>
    <w:rsid w:val="69553B4D"/>
    <w:rsid w:val="69724AD7"/>
    <w:rsid w:val="698F2F8F"/>
    <w:rsid w:val="699A7177"/>
    <w:rsid w:val="699F771D"/>
    <w:rsid w:val="69AF3CD0"/>
    <w:rsid w:val="69BF6BDD"/>
    <w:rsid w:val="69CA2B17"/>
    <w:rsid w:val="69CC30A8"/>
    <w:rsid w:val="6A33110C"/>
    <w:rsid w:val="6AE54422"/>
    <w:rsid w:val="6B030D4C"/>
    <w:rsid w:val="6B807383"/>
    <w:rsid w:val="6B961BC0"/>
    <w:rsid w:val="6BBD6062"/>
    <w:rsid w:val="6BE74E19"/>
    <w:rsid w:val="6BFD39ED"/>
    <w:rsid w:val="6C001E4A"/>
    <w:rsid w:val="6C0E785F"/>
    <w:rsid w:val="6C47110C"/>
    <w:rsid w:val="6CD37D36"/>
    <w:rsid w:val="6D2356F3"/>
    <w:rsid w:val="6D6F26C8"/>
    <w:rsid w:val="6E18382A"/>
    <w:rsid w:val="6E201C15"/>
    <w:rsid w:val="6E2A65EF"/>
    <w:rsid w:val="6E625D89"/>
    <w:rsid w:val="6EAE5472"/>
    <w:rsid w:val="6EBC36EB"/>
    <w:rsid w:val="6EBF6F4C"/>
    <w:rsid w:val="6EEA7B57"/>
    <w:rsid w:val="6F072F62"/>
    <w:rsid w:val="6FAE76E8"/>
    <w:rsid w:val="700239E9"/>
    <w:rsid w:val="70151CB4"/>
    <w:rsid w:val="702F64F2"/>
    <w:rsid w:val="70455B22"/>
    <w:rsid w:val="719641E7"/>
    <w:rsid w:val="719F765B"/>
    <w:rsid w:val="71C92F88"/>
    <w:rsid w:val="71DB0B17"/>
    <w:rsid w:val="722E5ED1"/>
    <w:rsid w:val="72946F4B"/>
    <w:rsid w:val="72AD56B1"/>
    <w:rsid w:val="72C64E61"/>
    <w:rsid w:val="72D66D46"/>
    <w:rsid w:val="730829F7"/>
    <w:rsid w:val="73177C77"/>
    <w:rsid w:val="73641BFE"/>
    <w:rsid w:val="73903BDF"/>
    <w:rsid w:val="73D0382F"/>
    <w:rsid w:val="744F5002"/>
    <w:rsid w:val="745C32DA"/>
    <w:rsid w:val="74624D35"/>
    <w:rsid w:val="74B567CE"/>
    <w:rsid w:val="74B66E2F"/>
    <w:rsid w:val="74CE6A7E"/>
    <w:rsid w:val="74EE6617"/>
    <w:rsid w:val="753A180E"/>
    <w:rsid w:val="756276E8"/>
    <w:rsid w:val="75734D20"/>
    <w:rsid w:val="75864A53"/>
    <w:rsid w:val="75B77661"/>
    <w:rsid w:val="760834D9"/>
    <w:rsid w:val="762129A3"/>
    <w:rsid w:val="7662101C"/>
    <w:rsid w:val="766528BB"/>
    <w:rsid w:val="768371E5"/>
    <w:rsid w:val="76BF43FB"/>
    <w:rsid w:val="76DB0DCF"/>
    <w:rsid w:val="775A337C"/>
    <w:rsid w:val="780A196C"/>
    <w:rsid w:val="7860158C"/>
    <w:rsid w:val="788460D8"/>
    <w:rsid w:val="78B6564F"/>
    <w:rsid w:val="78EA354B"/>
    <w:rsid w:val="795B4B05"/>
    <w:rsid w:val="796D2967"/>
    <w:rsid w:val="79725A1A"/>
    <w:rsid w:val="79CD5CEC"/>
    <w:rsid w:val="7A592736"/>
    <w:rsid w:val="7A647D14"/>
    <w:rsid w:val="7AA240DD"/>
    <w:rsid w:val="7AA37E55"/>
    <w:rsid w:val="7AFD7D77"/>
    <w:rsid w:val="7B346CFF"/>
    <w:rsid w:val="7B3B7919"/>
    <w:rsid w:val="7B683833"/>
    <w:rsid w:val="7B6F7CF7"/>
    <w:rsid w:val="7B962E96"/>
    <w:rsid w:val="7C4B2B74"/>
    <w:rsid w:val="7C7A6994"/>
    <w:rsid w:val="7C804BFA"/>
    <w:rsid w:val="7C831CEC"/>
    <w:rsid w:val="7C89326C"/>
    <w:rsid w:val="7CC516EE"/>
    <w:rsid w:val="7CFF2A1E"/>
    <w:rsid w:val="7D013D1F"/>
    <w:rsid w:val="7D0746CC"/>
    <w:rsid w:val="7D1110A6"/>
    <w:rsid w:val="7D1E7D57"/>
    <w:rsid w:val="7D26648E"/>
    <w:rsid w:val="7D8904F4"/>
    <w:rsid w:val="7DB303AF"/>
    <w:rsid w:val="7E611BB9"/>
    <w:rsid w:val="7E7D73FF"/>
    <w:rsid w:val="7E9F0934"/>
    <w:rsid w:val="7EAF1C20"/>
    <w:rsid w:val="7EB51F05"/>
    <w:rsid w:val="7EB77390"/>
    <w:rsid w:val="7EBE700C"/>
    <w:rsid w:val="7EC9322B"/>
    <w:rsid w:val="7EEA6053"/>
    <w:rsid w:val="7EF70770"/>
    <w:rsid w:val="7EFC21B4"/>
    <w:rsid w:val="7F70030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4" w:lineRule="atLeast"/>
      <w:ind w:left="1" w:firstLine="420"/>
      <w:jc w:val="both"/>
      <w:textAlignment w:val="bottom"/>
    </w:pPr>
    <w:rPr>
      <w:rFonts w:ascii="Times New Roman" w:hAnsi="Times New Roman" w:eastAsia="宋体" w:cs="Times New Roman"/>
      <w:color w:val="000000"/>
      <w:sz w:val="21"/>
      <w:szCs w:val="21"/>
      <w:lang w:val="en-US" w:eastAsia="zh-CN" w:bidi="ar-SA"/>
    </w:rPr>
  </w:style>
  <w:style w:type="paragraph" w:styleId="2">
    <w:name w:val="heading 1"/>
    <w:basedOn w:val="1"/>
    <w:next w:val="3"/>
    <w:link w:val="20"/>
    <w:qFormat/>
    <w:uiPriority w:val="99"/>
    <w:pPr>
      <w:spacing w:before="159" w:after="153" w:line="554" w:lineRule="atLeast"/>
      <w:ind w:firstLine="0"/>
      <w:jc w:val="center"/>
      <w:outlineLvl w:val="0"/>
    </w:pPr>
    <w:rPr>
      <w:rFonts w:ascii="Arial" w:hAnsi="Arial" w:eastAsia="黑体" w:cs="Arial"/>
      <w:sz w:val="32"/>
      <w:szCs w:val="32"/>
    </w:rPr>
  </w:style>
  <w:style w:type="paragraph" w:styleId="3">
    <w:name w:val="heading 2"/>
    <w:basedOn w:val="1"/>
    <w:next w:val="4"/>
    <w:link w:val="21"/>
    <w:qFormat/>
    <w:uiPriority w:val="99"/>
    <w:pPr>
      <w:spacing w:line="519" w:lineRule="atLeast"/>
      <w:ind w:firstLine="0"/>
      <w:jc w:val="center"/>
      <w:outlineLvl w:val="1"/>
    </w:pPr>
    <w:rPr>
      <w:sz w:val="28"/>
      <w:szCs w:val="28"/>
    </w:rPr>
  </w:style>
  <w:style w:type="paragraph" w:styleId="4">
    <w:name w:val="heading 3"/>
    <w:basedOn w:val="1"/>
    <w:next w:val="1"/>
    <w:link w:val="22"/>
    <w:qFormat/>
    <w:uiPriority w:val="99"/>
    <w:pPr>
      <w:spacing w:before="176" w:after="102"/>
      <w:ind w:firstLine="0"/>
      <w:outlineLvl w:val="2"/>
    </w:pPr>
    <w:rPr>
      <w:rFonts w:eastAsia="黑体"/>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semiHidden/>
    <w:qFormat/>
    <w:uiPriority w:val="99"/>
    <w:pPr>
      <w:spacing w:line="548" w:lineRule="atLeast"/>
    </w:pPr>
  </w:style>
  <w:style w:type="paragraph" w:styleId="6">
    <w:name w:val="Date"/>
    <w:basedOn w:val="1"/>
    <w:next w:val="1"/>
    <w:link w:val="23"/>
    <w:qFormat/>
    <w:uiPriority w:val="99"/>
    <w:pPr>
      <w:ind w:left="100" w:leftChars="2500"/>
    </w:pPr>
  </w:style>
  <w:style w:type="paragraph" w:styleId="7">
    <w:name w:val="footer"/>
    <w:basedOn w:val="1"/>
    <w:link w:val="24"/>
    <w:qFormat/>
    <w:uiPriority w:val="99"/>
    <w:pPr>
      <w:tabs>
        <w:tab w:val="center" w:pos="4153"/>
        <w:tab w:val="right" w:pos="8306"/>
      </w:tabs>
      <w:snapToGrid w:val="0"/>
      <w:jc w:val="left"/>
    </w:pPr>
    <w:rPr>
      <w:sz w:val="18"/>
      <w:szCs w:val="18"/>
    </w:rPr>
  </w:style>
  <w:style w:type="paragraph" w:styleId="8">
    <w:name w:val="header"/>
    <w:basedOn w:val="1"/>
    <w:link w:val="25"/>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semiHidden/>
    <w:qFormat/>
    <w:uiPriority w:val="99"/>
    <w:pPr>
      <w:spacing w:after="136" w:line="519" w:lineRule="atLeast"/>
      <w:ind w:firstLine="0"/>
      <w:jc w:val="left"/>
    </w:pPr>
    <w:rPr>
      <w:rFonts w:ascii="Arial" w:hAnsi="Arial" w:eastAsia="黑体" w:cs="Arial"/>
      <w:sz w:val="28"/>
      <w:szCs w:val="28"/>
    </w:rPr>
  </w:style>
  <w:style w:type="paragraph" w:styleId="10">
    <w:name w:val="toc 4"/>
    <w:basedOn w:val="1"/>
    <w:next w:val="1"/>
    <w:semiHidden/>
    <w:qFormat/>
    <w:uiPriority w:val="99"/>
    <w:pPr>
      <w:spacing w:line="548" w:lineRule="atLeast"/>
      <w:ind w:firstLine="630"/>
    </w:pPr>
  </w:style>
  <w:style w:type="paragraph" w:styleId="11">
    <w:name w:val="toc 2"/>
    <w:basedOn w:val="1"/>
    <w:next w:val="1"/>
    <w:semiHidden/>
    <w:qFormat/>
    <w:uiPriority w:val="99"/>
    <w:pPr>
      <w:spacing w:line="548" w:lineRule="atLeast"/>
      <w:ind w:firstLine="210"/>
    </w:pPr>
  </w:style>
  <w:style w:type="paragraph" w:styleId="12">
    <w:name w:val="Normal (Web)"/>
    <w:basedOn w:val="1"/>
    <w:unhideWhenUsed/>
    <w:qFormat/>
    <w:locked/>
    <w:uiPriority w:val="99"/>
    <w:pPr>
      <w:widowControl/>
      <w:spacing w:before="100" w:beforeAutospacing="1" w:after="100" w:afterAutospacing="1" w:line="240" w:lineRule="auto"/>
      <w:ind w:left="0" w:firstLine="0"/>
      <w:jc w:val="left"/>
      <w:textAlignment w:val="auto"/>
    </w:pPr>
    <w:rPr>
      <w:rFonts w:ascii="宋体" w:hAnsi="宋体" w:cs="宋体"/>
      <w:color w:val="auto"/>
      <w:sz w:val="24"/>
      <w:szCs w:val="24"/>
    </w:rPr>
  </w:style>
  <w:style w:type="paragraph" w:styleId="13">
    <w:name w:val="Title"/>
    <w:basedOn w:val="1"/>
    <w:next w:val="14"/>
    <w:link w:val="26"/>
    <w:qFormat/>
    <w:uiPriority w:val="99"/>
    <w:pPr>
      <w:spacing w:before="567" w:after="545" w:line="808" w:lineRule="atLeast"/>
      <w:ind w:firstLine="0"/>
      <w:jc w:val="center"/>
    </w:pPr>
    <w:rPr>
      <w:rFonts w:ascii="Arial" w:hAnsi="Arial" w:eastAsia="黑体" w:cs="Arial"/>
      <w:sz w:val="52"/>
      <w:szCs w:val="52"/>
    </w:rPr>
  </w:style>
  <w:style w:type="paragraph" w:customStyle="1" w:styleId="14">
    <w:name w:val="文章副标题"/>
    <w:basedOn w:val="1"/>
    <w:next w:val="2"/>
    <w:qFormat/>
    <w:uiPriority w:val="99"/>
    <w:pPr>
      <w:spacing w:before="104" w:after="104" w:line="240" w:lineRule="atLeast"/>
      <w:ind w:firstLine="0"/>
      <w:jc w:val="center"/>
    </w:pPr>
    <w:rPr>
      <w:sz w:val="36"/>
      <w:szCs w:val="36"/>
    </w:rPr>
  </w:style>
  <w:style w:type="character" w:styleId="17">
    <w:name w:val="Strong"/>
    <w:basedOn w:val="16"/>
    <w:qFormat/>
    <w:uiPriority w:val="22"/>
    <w:rPr>
      <w:b/>
      <w:bCs/>
    </w:rPr>
  </w:style>
  <w:style w:type="character" w:styleId="18">
    <w:name w:val="page number"/>
    <w:basedOn w:val="16"/>
    <w:qFormat/>
    <w:uiPriority w:val="99"/>
    <w:rPr>
      <w:rFonts w:cs="Times New Roman"/>
    </w:rPr>
  </w:style>
  <w:style w:type="character" w:styleId="19">
    <w:name w:val="Hyperlink"/>
    <w:basedOn w:val="16"/>
    <w:qFormat/>
    <w:uiPriority w:val="99"/>
    <w:rPr>
      <w:rFonts w:cs="Times New Roman"/>
      <w:color w:val="0000FF"/>
      <w:u w:val="single"/>
    </w:rPr>
  </w:style>
  <w:style w:type="character" w:customStyle="1" w:styleId="20">
    <w:name w:val="标题 1 Char"/>
    <w:basedOn w:val="16"/>
    <w:link w:val="2"/>
    <w:qFormat/>
    <w:locked/>
    <w:uiPriority w:val="99"/>
    <w:rPr>
      <w:rFonts w:cs="Times New Roman"/>
      <w:b/>
      <w:bCs/>
      <w:color w:val="000000"/>
      <w:kern w:val="44"/>
      <w:sz w:val="44"/>
      <w:szCs w:val="44"/>
    </w:rPr>
  </w:style>
  <w:style w:type="character" w:customStyle="1" w:styleId="21">
    <w:name w:val="标题 2 Char"/>
    <w:basedOn w:val="16"/>
    <w:link w:val="3"/>
    <w:semiHidden/>
    <w:qFormat/>
    <w:locked/>
    <w:uiPriority w:val="99"/>
    <w:rPr>
      <w:rFonts w:ascii="Cambria" w:hAnsi="Cambria" w:eastAsia="宋体" w:cs="Cambria"/>
      <w:b/>
      <w:bCs/>
      <w:color w:val="000000"/>
      <w:kern w:val="0"/>
      <w:sz w:val="32"/>
      <w:szCs w:val="32"/>
    </w:rPr>
  </w:style>
  <w:style w:type="character" w:customStyle="1" w:styleId="22">
    <w:name w:val="标题 3 Char"/>
    <w:basedOn w:val="16"/>
    <w:link w:val="4"/>
    <w:semiHidden/>
    <w:qFormat/>
    <w:locked/>
    <w:uiPriority w:val="99"/>
    <w:rPr>
      <w:rFonts w:cs="Times New Roman"/>
      <w:b/>
      <w:bCs/>
      <w:color w:val="000000"/>
      <w:kern w:val="0"/>
      <w:sz w:val="32"/>
      <w:szCs w:val="32"/>
    </w:rPr>
  </w:style>
  <w:style w:type="character" w:customStyle="1" w:styleId="23">
    <w:name w:val="日期 Char"/>
    <w:basedOn w:val="16"/>
    <w:link w:val="6"/>
    <w:semiHidden/>
    <w:qFormat/>
    <w:locked/>
    <w:uiPriority w:val="99"/>
    <w:rPr>
      <w:rFonts w:cs="Times New Roman"/>
      <w:color w:val="000000"/>
      <w:kern w:val="0"/>
      <w:sz w:val="20"/>
      <w:szCs w:val="20"/>
    </w:rPr>
  </w:style>
  <w:style w:type="character" w:customStyle="1" w:styleId="24">
    <w:name w:val="页脚 Char"/>
    <w:basedOn w:val="16"/>
    <w:link w:val="7"/>
    <w:semiHidden/>
    <w:qFormat/>
    <w:locked/>
    <w:uiPriority w:val="99"/>
    <w:rPr>
      <w:rFonts w:cs="Times New Roman"/>
      <w:color w:val="000000"/>
      <w:kern w:val="0"/>
      <w:sz w:val="18"/>
      <w:szCs w:val="18"/>
    </w:rPr>
  </w:style>
  <w:style w:type="character" w:customStyle="1" w:styleId="25">
    <w:name w:val="页眉 Char"/>
    <w:basedOn w:val="16"/>
    <w:link w:val="8"/>
    <w:semiHidden/>
    <w:qFormat/>
    <w:locked/>
    <w:uiPriority w:val="99"/>
    <w:rPr>
      <w:rFonts w:cs="Times New Roman"/>
      <w:color w:val="000000"/>
      <w:kern w:val="0"/>
      <w:sz w:val="18"/>
      <w:szCs w:val="18"/>
    </w:rPr>
  </w:style>
  <w:style w:type="character" w:customStyle="1" w:styleId="26">
    <w:name w:val="标题 Char"/>
    <w:basedOn w:val="16"/>
    <w:link w:val="13"/>
    <w:qFormat/>
    <w:locked/>
    <w:uiPriority w:val="99"/>
    <w:rPr>
      <w:rFonts w:ascii="Cambria" w:hAnsi="Cambria" w:cs="Cambria"/>
      <w:b/>
      <w:bCs/>
      <w:color w:val="000000"/>
      <w:kern w:val="0"/>
      <w:sz w:val="32"/>
      <w:szCs w:val="32"/>
    </w:rPr>
  </w:style>
  <w:style w:type="character" w:customStyle="1" w:styleId="27">
    <w:name w:val="默认段落字体 Char"/>
    <w:qFormat/>
    <w:uiPriority w:val="99"/>
    <w:rPr>
      <w:rFonts w:ascii="Times New Roman" w:hAnsi="Times New Roman" w:eastAsia="宋体"/>
      <w:color w:val="000000"/>
      <w:spacing w:val="0"/>
      <w:w w:val="100"/>
      <w:sz w:val="21"/>
      <w:vertAlign w:val="baseline"/>
    </w:rPr>
  </w:style>
  <w:style w:type="character" w:customStyle="1" w:styleId="28">
    <w:name w:val="链接"/>
    <w:basedOn w:val="16"/>
    <w:qFormat/>
    <w:uiPriority w:val="99"/>
    <w:rPr>
      <w:rFonts w:ascii="Times New Roman" w:hAnsi="Times New Roman" w:eastAsia="宋体" w:cs="Times New Roman"/>
      <w:color w:val="0000FF"/>
      <w:sz w:val="21"/>
      <w:szCs w:val="21"/>
      <w:u w:val="single" w:color="0000FF"/>
      <w:vertAlign w:val="baseline"/>
    </w:rPr>
  </w:style>
  <w:style w:type="character" w:customStyle="1" w:styleId="29">
    <w:name w:val="超级链接"/>
    <w:basedOn w:val="27"/>
    <w:qFormat/>
    <w:uiPriority w:val="99"/>
    <w:rPr>
      <w:rFonts w:cs="Times New Roman"/>
      <w:color w:val="0000FF"/>
      <w:szCs w:val="21"/>
      <w:u w:val="single" w:color="0000FF"/>
    </w:rPr>
  </w:style>
  <w:style w:type="paragraph" w:customStyle="1" w:styleId="30">
    <w:name w:val="WPS Plain"/>
    <w:qFormat/>
    <w:uiPriority w:val="99"/>
    <w:rPr>
      <w:rFonts w:ascii="Times New Roman" w:hAnsi="Times New Roman" w:eastAsia="宋体" w:cs="Times New Roman"/>
      <w:lang w:val="en-US" w:eastAsia="zh-CN" w:bidi="ar-SA"/>
    </w:rPr>
  </w:style>
  <w:style w:type="paragraph" w:customStyle="1" w:styleId="31">
    <w:name w:val="普通表格1"/>
    <w:qFormat/>
    <w:uiPriority w:val="99"/>
    <w:rPr>
      <w:rFonts w:ascii="Times New Roman" w:hAnsi="Times New Roman" w:eastAsia="宋体" w:cs="Times New Roman"/>
      <w:lang w:val="en-US" w:eastAsia="zh-CN" w:bidi="ar-SA"/>
    </w:rPr>
  </w:style>
  <w:style w:type="paragraph" w:customStyle="1" w:styleId="32">
    <w:name w:val="目录标题"/>
    <w:basedOn w:val="1"/>
    <w:next w:val="1"/>
    <w:qFormat/>
    <w:uiPriority w:val="99"/>
    <w:pPr>
      <w:spacing w:before="567" w:after="545" w:line="808" w:lineRule="atLeast"/>
      <w:jc w:val="center"/>
    </w:pPr>
    <w:rPr>
      <w:rFonts w:ascii="Arial" w:hAnsi="Arial" w:eastAsia="黑体" w:cs="Arial"/>
      <w:spacing w:val="283"/>
      <w:sz w:val="52"/>
      <w:szCs w:val="52"/>
    </w:rPr>
  </w:style>
  <w:style w:type="paragraph" w:customStyle="1" w:styleId="33">
    <w:name w:val="无列表1"/>
    <w:qFormat/>
    <w:uiPriority w:val="99"/>
    <w:rPr>
      <w:rFonts w:ascii="Times New Roman" w:hAnsi="Times New Roman" w:eastAsia="宋体" w:cs="Times New Roman"/>
      <w:lang w:val="en-US" w:eastAsia="zh-CN" w:bidi="ar-SA"/>
    </w:rPr>
  </w:style>
  <w:style w:type="paragraph" w:customStyle="1" w:styleId="34">
    <w:name w:val="0"/>
    <w:basedOn w:val="1"/>
    <w:qFormat/>
    <w:uiPriority w:val="99"/>
    <w:pPr>
      <w:widowControl/>
      <w:snapToGrid w:val="0"/>
      <w:spacing w:line="240" w:lineRule="auto"/>
      <w:ind w:left="0" w:firstLine="0"/>
      <w:textAlignment w:val="auto"/>
    </w:pPr>
    <w:rPr>
      <w:color w:val="auto"/>
    </w:rPr>
  </w:style>
  <w:style w:type="paragraph" w:customStyle="1" w:styleId="35">
    <w:name w:val="文章附标题"/>
    <w:basedOn w:val="1"/>
    <w:qFormat/>
    <w:uiPriority w:val="99"/>
    <w:pPr>
      <w:spacing w:before="187" w:after="176" w:line="607" w:lineRule="atLeast"/>
      <w:ind w:firstLine="0"/>
      <w:jc w:val="center"/>
    </w:pPr>
    <w:rPr>
      <w:sz w:val="36"/>
      <w:szCs w:val="36"/>
    </w:rPr>
  </w:style>
  <w:style w:type="paragraph" w:styleId="36">
    <w:name w:val="List Paragraph"/>
    <w:basedOn w:val="1"/>
    <w:qFormat/>
    <w:uiPriority w:val="99"/>
    <w:pPr>
      <w:spacing w:line="240" w:lineRule="auto"/>
      <w:ind w:left="0" w:firstLine="200" w:firstLineChars="200"/>
      <w:textAlignment w:val="auto"/>
    </w:pPr>
    <w:rPr>
      <w:rFonts w:ascii="Calibri" w:hAnsi="Calibri"/>
      <w:color w:val="auto"/>
      <w:kern w:val="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B98810-EC79-46DD-BFC0-1997FCBF0E0E}">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10</Pages>
  <Words>5202</Words>
  <Characters>5758</Characters>
  <Lines>41</Lines>
  <Paragraphs>11</Paragraphs>
  <TotalTime>22</TotalTime>
  <ScaleCrop>false</ScaleCrop>
  <LinksUpToDate>false</LinksUpToDate>
  <CharactersWithSpaces>5803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2021-09-30T02:02:00Z</dcterms:created>
  <dc:creator>Administrator</dc:creator>
  <cp:lastModifiedBy>sjyzx</cp:lastModifiedBy>
  <cp:lastPrinted>2023-08-17T02:10:28Z</cp:lastPrinted>
  <dcterms:modified xsi:type="dcterms:W3CDTF">2023-08-17T02:18:25Z</dcterms:modified>
  <dc:title>乌海市国土资源局</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67A81D23C32E4A8DA445BDD455426B89_13</vt:lpwstr>
  </property>
</Properties>
</file>