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宋体" w:eastAsia="宋体"/>
          <w:b/>
          <w:bCs/>
          <w:color w:val="000000" w:themeColor="text1"/>
          <w:sz w:val="44"/>
          <w:szCs w:val="44"/>
          <w:highlight w:val="none"/>
          <w:lang w:val="en-US" w:eastAsia="zh-CN"/>
          <w14:textFill>
            <w14:solidFill>
              <w14:schemeClr w14:val="tx1"/>
            </w14:solidFill>
          </w14:textFill>
        </w:rPr>
      </w:pPr>
      <w:bookmarkStart w:id="0" w:name="_GoBack"/>
    </w:p>
    <w:p>
      <w:pPr>
        <w:spacing w:line="560" w:lineRule="exact"/>
        <w:ind w:firstLine="2650" w:firstLineChars="600"/>
        <w:jc w:val="both"/>
        <w:rPr>
          <w:rFonts w:hint="eastAsia" w:ascii="宋体" w:hAnsi="宋体" w:eastAsia="宋体" w:cs="宋体"/>
          <w:b/>
          <w:bCs w:val="0"/>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44"/>
          <w:szCs w:val="44"/>
          <w:highlight w:val="none"/>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44"/>
          <w:szCs w:val="44"/>
          <w:highlight w:val="none"/>
          <w14:textFill>
            <w14:solidFill>
              <w14:schemeClr w14:val="tx1"/>
            </w14:solidFill>
          </w14:textFill>
        </w:rPr>
        <w:t>国有土地使用权挂牌出让公告</w:t>
      </w:r>
    </w:p>
    <w:p>
      <w:pPr>
        <w:keepNext w:val="0"/>
        <w:keepLines w:val="0"/>
        <w:pageBreakBefore w:val="0"/>
        <w:widowControl w:val="0"/>
        <w:kinsoku/>
        <w:wordWrap/>
        <w:overflowPunct/>
        <w:topLinePunct w:val="0"/>
        <w:autoSpaceDE/>
        <w:autoSpaceDN/>
        <w:bidi w:val="0"/>
        <w:adjustRightInd/>
        <w:snapToGrid/>
        <w:spacing w:line="540" w:lineRule="exact"/>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36</w:t>
      </w:r>
      <w:r>
        <w:rPr>
          <w:rFonts w:hint="eastAsia" w:ascii="仿宋" w:hAnsi="仿宋" w:eastAsia="仿宋" w:cs="仿宋"/>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baseline"/>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经乌海市海南区人民政府批准，乌海市自然资源局海南分局以挂牌方式出让</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宗地块的国有建设用地使用权，现将有关事项公告如下：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firstLine="640" w:firstLineChars="200"/>
        <w:textAlignment w:val="baseline"/>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宗地基本情况和规划要求：</w:t>
      </w:r>
    </w:p>
    <w:tbl>
      <w:tblPr>
        <w:tblStyle w:val="16"/>
        <w:tblW w:w="111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0"/>
        <w:gridCol w:w="750"/>
        <w:gridCol w:w="1178"/>
        <w:gridCol w:w="1020"/>
        <w:gridCol w:w="645"/>
        <w:gridCol w:w="540"/>
        <w:gridCol w:w="675"/>
        <w:gridCol w:w="525"/>
        <w:gridCol w:w="480"/>
        <w:gridCol w:w="555"/>
        <w:gridCol w:w="750"/>
        <w:gridCol w:w="900"/>
        <w:gridCol w:w="945"/>
        <w:gridCol w:w="17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390" w:type="dxa"/>
            <w:vMerge w:val="restart"/>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750" w:type="dxa"/>
            <w:vMerge w:val="restart"/>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编号</w:t>
            </w:r>
          </w:p>
        </w:tc>
        <w:tc>
          <w:tcPr>
            <w:tcW w:w="1178" w:type="dxa"/>
            <w:vMerge w:val="restart"/>
            <w:vAlign w:val="center"/>
          </w:tcPr>
          <w:p>
            <w:pPr>
              <w:spacing w:line="30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土地位置</w:t>
            </w:r>
          </w:p>
        </w:tc>
        <w:tc>
          <w:tcPr>
            <w:tcW w:w="1020" w:type="dxa"/>
            <w:vMerge w:val="restart"/>
            <w:vAlign w:val="center"/>
          </w:tcPr>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土地面积(m</w:t>
            </w:r>
            <w:r>
              <w:rPr>
                <w:rFonts w:hint="eastAsia" w:ascii="仿宋" w:hAnsi="仿宋" w:eastAsia="仿宋" w:cs="仿宋"/>
                <w:b/>
                <w:bCs/>
                <w:color w:val="auto"/>
                <w:sz w:val="18"/>
                <w:szCs w:val="18"/>
                <w:highlight w:val="none"/>
                <w:vertAlign w:val="superscript"/>
              </w:rPr>
              <w:t>2</w:t>
            </w:r>
            <w:r>
              <w:rPr>
                <w:rFonts w:hint="eastAsia" w:ascii="仿宋" w:hAnsi="仿宋" w:eastAsia="仿宋" w:cs="仿宋"/>
                <w:b/>
                <w:bCs/>
                <w:color w:val="auto"/>
                <w:sz w:val="18"/>
                <w:szCs w:val="18"/>
                <w:highlight w:val="none"/>
              </w:rPr>
              <w:t>）</w:t>
            </w:r>
          </w:p>
        </w:tc>
        <w:tc>
          <w:tcPr>
            <w:tcW w:w="645" w:type="dxa"/>
            <w:vMerge w:val="restart"/>
            <w:vAlign w:val="center"/>
          </w:tcPr>
          <w:p>
            <w:pPr>
              <w:spacing w:line="280" w:lineRule="exact"/>
              <w:ind w:left="0" w:firstLine="0"/>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土地</w:t>
            </w:r>
          </w:p>
          <w:p>
            <w:pPr>
              <w:spacing w:line="280" w:lineRule="exact"/>
              <w:ind w:left="0" w:firstLine="0"/>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用途</w:t>
            </w:r>
          </w:p>
        </w:tc>
        <w:tc>
          <w:tcPr>
            <w:tcW w:w="2775" w:type="dxa"/>
            <w:gridSpan w:val="5"/>
            <w:tcBorders>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规划指标要求</w:t>
            </w:r>
          </w:p>
        </w:tc>
        <w:tc>
          <w:tcPr>
            <w:tcW w:w="750" w:type="dxa"/>
            <w:vMerge w:val="restart"/>
            <w:tcBorders>
              <w:left w:val="single" w:color="auto" w:sz="4" w:space="0"/>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出让</w:t>
            </w:r>
          </w:p>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年限（年）</w:t>
            </w:r>
          </w:p>
        </w:tc>
        <w:tc>
          <w:tcPr>
            <w:tcW w:w="900" w:type="dxa"/>
            <w:vMerge w:val="restart"/>
            <w:tcBorders>
              <w:left w:val="single" w:color="auto" w:sz="4" w:space="0"/>
              <w:right w:val="single" w:color="auto" w:sz="4" w:space="0"/>
            </w:tcBorders>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起挂价</w:t>
            </w:r>
          </w:p>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(万元)</w:t>
            </w:r>
          </w:p>
        </w:tc>
        <w:tc>
          <w:tcPr>
            <w:tcW w:w="945" w:type="dxa"/>
            <w:vMerge w:val="restart"/>
            <w:tcBorders>
              <w:left w:val="single" w:color="auto" w:sz="4" w:space="0"/>
              <w:right w:val="single" w:color="auto" w:sz="4" w:space="0"/>
            </w:tcBorders>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保证金</w:t>
            </w:r>
          </w:p>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(万元)</w:t>
            </w:r>
          </w:p>
        </w:tc>
        <w:tc>
          <w:tcPr>
            <w:tcW w:w="1792" w:type="dxa"/>
            <w:vMerge w:val="restart"/>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390" w:type="dxa"/>
            <w:vMerge w:val="continue"/>
            <w:vAlign w:val="center"/>
          </w:tcPr>
          <w:p>
            <w:pPr>
              <w:spacing w:line="280" w:lineRule="exact"/>
              <w:ind w:left="0" w:firstLine="0"/>
              <w:jc w:val="center"/>
              <w:rPr>
                <w:rFonts w:hint="eastAsia" w:ascii="仿宋" w:hAnsi="仿宋" w:eastAsia="仿宋" w:cs="仿宋"/>
                <w:color w:val="auto"/>
                <w:sz w:val="18"/>
                <w:szCs w:val="18"/>
                <w:highlight w:val="none"/>
              </w:rPr>
            </w:pPr>
          </w:p>
        </w:tc>
        <w:tc>
          <w:tcPr>
            <w:tcW w:w="750" w:type="dxa"/>
            <w:vMerge w:val="continue"/>
            <w:vAlign w:val="center"/>
          </w:tcPr>
          <w:p>
            <w:pPr>
              <w:spacing w:line="280" w:lineRule="exact"/>
              <w:ind w:left="0" w:firstLine="0"/>
              <w:jc w:val="center"/>
              <w:rPr>
                <w:rFonts w:hint="eastAsia" w:ascii="仿宋" w:hAnsi="仿宋" w:eastAsia="仿宋" w:cs="仿宋"/>
                <w:color w:val="auto"/>
                <w:sz w:val="18"/>
                <w:szCs w:val="18"/>
                <w:highlight w:val="none"/>
              </w:rPr>
            </w:pPr>
          </w:p>
        </w:tc>
        <w:tc>
          <w:tcPr>
            <w:tcW w:w="1178" w:type="dxa"/>
            <w:vMerge w:val="continue"/>
            <w:vAlign w:val="center"/>
          </w:tcPr>
          <w:p>
            <w:pPr>
              <w:spacing w:line="300" w:lineRule="exact"/>
              <w:ind w:left="0" w:firstLine="0"/>
              <w:jc w:val="center"/>
              <w:rPr>
                <w:rFonts w:hint="eastAsia" w:ascii="仿宋" w:hAnsi="仿宋" w:eastAsia="仿宋" w:cs="仿宋"/>
                <w:color w:val="auto"/>
                <w:sz w:val="18"/>
                <w:szCs w:val="18"/>
                <w:highlight w:val="none"/>
              </w:rPr>
            </w:pPr>
          </w:p>
        </w:tc>
        <w:tc>
          <w:tcPr>
            <w:tcW w:w="1020" w:type="dxa"/>
            <w:vMerge w:val="continue"/>
            <w:vAlign w:val="center"/>
          </w:tcPr>
          <w:p>
            <w:pPr>
              <w:spacing w:line="280" w:lineRule="exact"/>
              <w:ind w:left="0" w:firstLine="0"/>
              <w:jc w:val="center"/>
              <w:rPr>
                <w:rFonts w:hint="eastAsia" w:ascii="仿宋" w:hAnsi="仿宋" w:eastAsia="仿宋" w:cs="仿宋"/>
                <w:b/>
                <w:bCs/>
                <w:color w:val="auto"/>
                <w:sz w:val="18"/>
                <w:szCs w:val="18"/>
                <w:highlight w:val="none"/>
              </w:rPr>
            </w:pPr>
          </w:p>
        </w:tc>
        <w:tc>
          <w:tcPr>
            <w:tcW w:w="645" w:type="dxa"/>
            <w:vMerge w:val="continue"/>
            <w:vAlign w:val="center"/>
          </w:tcPr>
          <w:p>
            <w:pPr>
              <w:spacing w:line="300" w:lineRule="exact"/>
              <w:ind w:left="0" w:firstLine="0"/>
              <w:jc w:val="center"/>
              <w:rPr>
                <w:rFonts w:hint="eastAsia" w:ascii="仿宋" w:hAnsi="仿宋" w:eastAsia="仿宋" w:cs="仿宋"/>
                <w:color w:val="auto"/>
                <w:sz w:val="18"/>
                <w:szCs w:val="18"/>
                <w:highlight w:val="none"/>
                <w:lang w:val="en-US" w:eastAsia="zh-CN"/>
              </w:rPr>
            </w:pPr>
          </w:p>
        </w:tc>
        <w:tc>
          <w:tcPr>
            <w:tcW w:w="540" w:type="dxa"/>
            <w:vAlign w:val="center"/>
          </w:tcPr>
          <w:p>
            <w:pPr>
              <w:spacing w:line="24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容积率</w:t>
            </w:r>
          </w:p>
        </w:tc>
        <w:tc>
          <w:tcPr>
            <w:tcW w:w="675" w:type="dxa"/>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color w:val="auto"/>
                <w:sz w:val="18"/>
                <w:szCs w:val="18"/>
                <w:highlight w:val="none"/>
              </w:rPr>
              <w:t>建筑限高</w:t>
            </w:r>
          </w:p>
        </w:tc>
        <w:tc>
          <w:tcPr>
            <w:tcW w:w="525" w:type="dxa"/>
            <w:vAlign w:val="center"/>
          </w:tcPr>
          <w:p>
            <w:pPr>
              <w:pStyle w:val="31"/>
              <w:spacing w:line="240" w:lineRule="exact"/>
              <w:jc w:val="center"/>
              <w:textAlignment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rPr>
              <w:t>建筑</w:t>
            </w:r>
            <w:r>
              <w:rPr>
                <w:rFonts w:hint="eastAsia" w:ascii="仿宋" w:hAnsi="仿宋" w:eastAsia="仿宋" w:cs="仿宋"/>
                <w:b/>
                <w:bCs/>
                <w:color w:val="auto"/>
                <w:sz w:val="18"/>
                <w:szCs w:val="18"/>
                <w:highlight w:val="none"/>
                <w:lang w:eastAsia="zh-CN"/>
              </w:rPr>
              <w:t>系数</w:t>
            </w:r>
          </w:p>
        </w:tc>
        <w:tc>
          <w:tcPr>
            <w:tcW w:w="480" w:type="dxa"/>
            <w:tcBorders>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rPr>
              <w:t>绿地率</w:t>
            </w:r>
          </w:p>
        </w:tc>
        <w:tc>
          <w:tcPr>
            <w:tcW w:w="555" w:type="dxa"/>
            <w:tcBorders>
              <w:left w:val="single" w:color="auto" w:sz="4" w:space="0"/>
              <w:right w:val="single" w:color="auto" w:sz="4" w:space="0"/>
            </w:tcBorders>
            <w:vAlign w:val="center"/>
          </w:tcPr>
          <w:p>
            <w:pPr>
              <w:pStyle w:val="31"/>
              <w:spacing w:line="240" w:lineRule="exact"/>
              <w:jc w:val="center"/>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投资强度</w:t>
            </w:r>
          </w:p>
        </w:tc>
        <w:tc>
          <w:tcPr>
            <w:tcW w:w="750" w:type="dxa"/>
            <w:vMerge w:val="continue"/>
            <w:tcBorders>
              <w:left w:val="single" w:color="auto" w:sz="4" w:space="0"/>
              <w:right w:val="single" w:color="auto" w:sz="4" w:space="0"/>
            </w:tcBorders>
            <w:vAlign w:val="center"/>
          </w:tcPr>
          <w:p>
            <w:pPr>
              <w:pStyle w:val="31"/>
              <w:spacing w:line="240" w:lineRule="exact"/>
              <w:jc w:val="center"/>
              <w:rPr>
                <w:rFonts w:hint="eastAsia" w:ascii="仿宋" w:hAnsi="仿宋" w:eastAsia="仿宋" w:cs="仿宋"/>
                <w:b/>
                <w:bCs/>
                <w:color w:val="auto"/>
                <w:sz w:val="18"/>
                <w:szCs w:val="18"/>
                <w:highlight w:val="none"/>
              </w:rPr>
            </w:pPr>
          </w:p>
        </w:tc>
        <w:tc>
          <w:tcPr>
            <w:tcW w:w="900" w:type="dxa"/>
            <w:vMerge w:val="continue"/>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c>
          <w:tcPr>
            <w:tcW w:w="945" w:type="dxa"/>
            <w:vMerge w:val="continue"/>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c>
          <w:tcPr>
            <w:tcW w:w="1792"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390" w:type="dxa"/>
            <w:vAlign w:val="center"/>
          </w:tcPr>
          <w:p>
            <w:pPr>
              <w:pStyle w:val="31"/>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w:t>
            </w:r>
          </w:p>
        </w:tc>
        <w:tc>
          <w:tcPr>
            <w:tcW w:w="750" w:type="dxa"/>
            <w:vAlign w:val="center"/>
          </w:tcPr>
          <w:p>
            <w:pPr>
              <w:spacing w:line="300" w:lineRule="exact"/>
              <w:ind w:left="0" w:firstLine="0"/>
              <w:jc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2023GC-36-01</w:t>
            </w:r>
          </w:p>
        </w:tc>
        <w:tc>
          <w:tcPr>
            <w:tcW w:w="1178" w:type="dxa"/>
            <w:vAlign w:val="center"/>
          </w:tcPr>
          <w:p>
            <w:pPr>
              <w:spacing w:line="300" w:lineRule="exact"/>
              <w:ind w:left="0" w:firstLine="0"/>
              <w:jc w:val="center"/>
              <w:rPr>
                <w:rFonts w:hint="default"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乌海市海南区巴音陶亥街以南（海南区）</w:t>
            </w:r>
          </w:p>
        </w:tc>
        <w:tc>
          <w:tcPr>
            <w:tcW w:w="1020" w:type="dxa"/>
            <w:vAlign w:val="center"/>
          </w:tcPr>
          <w:p>
            <w:pPr>
              <w:spacing w:line="300" w:lineRule="exact"/>
              <w:ind w:left="0" w:firstLine="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28066.95</w:t>
            </w:r>
          </w:p>
        </w:tc>
        <w:tc>
          <w:tcPr>
            <w:tcW w:w="645" w:type="dxa"/>
            <w:vAlign w:val="center"/>
          </w:tcPr>
          <w:p>
            <w:pPr>
              <w:spacing w:line="300" w:lineRule="exact"/>
              <w:ind w:left="0" w:firstLine="0"/>
              <w:jc w:val="center"/>
              <w:rPr>
                <w:rFonts w:hint="eastAsia" w:ascii="仿宋" w:hAnsi="仿宋" w:eastAsia="仿宋" w:cs="仿宋"/>
                <w:color w:val="auto"/>
                <w:kern w:val="2"/>
                <w:sz w:val="18"/>
                <w:szCs w:val="18"/>
                <w:highlight w:val="none"/>
                <w:lang w:eastAsia="zh-CN"/>
              </w:rPr>
            </w:pPr>
            <w:r>
              <w:rPr>
                <w:rFonts w:hint="eastAsia" w:ascii="仿宋" w:hAnsi="仿宋" w:eastAsia="仿宋" w:cs="仿宋"/>
                <w:kern w:val="0"/>
                <w:sz w:val="18"/>
                <w:szCs w:val="18"/>
                <w:highlight w:val="none"/>
                <w:lang w:val="en-US" w:eastAsia="zh-CN" w:bidi="ar-SA"/>
              </w:rPr>
              <w:t>住宅兼容商业</w:t>
            </w:r>
          </w:p>
        </w:tc>
        <w:tc>
          <w:tcPr>
            <w:tcW w:w="540" w:type="dxa"/>
            <w:vAlign w:val="center"/>
          </w:tcPr>
          <w:p>
            <w:pPr>
              <w:spacing w:line="300" w:lineRule="exact"/>
              <w:ind w:left="0" w:firstLine="0"/>
              <w:jc w:val="center"/>
              <w:rPr>
                <w:rFonts w:hint="eastAsia" w:ascii="仿宋" w:hAnsi="仿宋" w:eastAsia="仿宋" w:cs="仿宋"/>
                <w:snapToGrid/>
                <w:color w:val="333333"/>
                <w:sz w:val="18"/>
                <w:szCs w:val="18"/>
                <w:highlight w:val="none"/>
              </w:rPr>
            </w:pPr>
            <w:r>
              <w:rPr>
                <w:rFonts w:hint="eastAsia" w:ascii="仿宋" w:hAnsi="仿宋" w:eastAsia="仿宋" w:cs="仿宋"/>
                <w:sz w:val="18"/>
                <w:szCs w:val="18"/>
                <w:highlight w:val="none"/>
                <w:lang w:val="en-US" w:eastAsia="zh-CN"/>
              </w:rPr>
              <w:t>≥1，≤2.0</w:t>
            </w:r>
          </w:p>
        </w:tc>
        <w:tc>
          <w:tcPr>
            <w:tcW w:w="675" w:type="dxa"/>
            <w:vAlign w:val="center"/>
          </w:tcPr>
          <w:p>
            <w:pPr>
              <w:spacing w:line="300" w:lineRule="exact"/>
              <w:ind w:left="0" w:leftChars="0"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≤60米</w:t>
            </w:r>
          </w:p>
        </w:tc>
        <w:tc>
          <w:tcPr>
            <w:tcW w:w="525" w:type="dxa"/>
            <w:vAlign w:val="center"/>
          </w:tcPr>
          <w:p>
            <w:pPr>
              <w:spacing w:line="300" w:lineRule="exact"/>
              <w:ind w:left="0" w:leftChars="0"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w:t>
            </w:r>
          </w:p>
        </w:tc>
        <w:tc>
          <w:tcPr>
            <w:tcW w:w="480" w:type="dxa"/>
            <w:tcBorders>
              <w:top w:val="single" w:color="auto" w:sz="4" w:space="0"/>
              <w:bottom w:val="single" w:color="auto" w:sz="4" w:space="0"/>
            </w:tcBorders>
            <w:vAlign w:val="center"/>
          </w:tcPr>
          <w:p>
            <w:pPr>
              <w:spacing w:line="300" w:lineRule="exact"/>
              <w:ind w:left="0" w:firstLine="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≥30</w:t>
            </w:r>
            <w:r>
              <w:rPr>
                <w:rFonts w:hint="eastAsia" w:ascii="仿宋" w:hAnsi="仿宋" w:eastAsia="仿宋" w:cs="仿宋"/>
                <w:sz w:val="18"/>
                <w:szCs w:val="18"/>
                <w:highlight w:val="none"/>
              </w:rPr>
              <w:t>%</w:t>
            </w:r>
          </w:p>
        </w:tc>
        <w:tc>
          <w:tcPr>
            <w:tcW w:w="555" w:type="dxa"/>
            <w:vAlign w:val="center"/>
          </w:tcPr>
          <w:p>
            <w:pPr>
              <w:spacing w:line="300" w:lineRule="exact"/>
              <w:ind w:left="0"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w:t>
            </w:r>
          </w:p>
        </w:tc>
        <w:tc>
          <w:tcPr>
            <w:tcW w:w="750" w:type="dxa"/>
            <w:vAlign w:val="center"/>
          </w:tcPr>
          <w:p>
            <w:pPr>
              <w:spacing w:line="300" w:lineRule="exact"/>
              <w:ind w:left="0" w:firstLine="0"/>
              <w:jc w:val="center"/>
              <w:rPr>
                <w:rFonts w:hint="eastAsia" w:ascii="仿宋" w:hAnsi="仿宋" w:eastAsia="仿宋" w:cs="仿宋"/>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住宅70年、商业40年</w:t>
            </w:r>
          </w:p>
        </w:tc>
        <w:tc>
          <w:tcPr>
            <w:tcW w:w="900" w:type="dxa"/>
            <w:vAlign w:val="center"/>
          </w:tcPr>
          <w:p>
            <w:pPr>
              <w:spacing w:line="300" w:lineRule="exact"/>
              <w:ind w:left="0" w:firstLine="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1013.2169</w:t>
            </w:r>
          </w:p>
        </w:tc>
        <w:tc>
          <w:tcPr>
            <w:tcW w:w="945" w:type="dxa"/>
            <w:vAlign w:val="center"/>
          </w:tcPr>
          <w:p>
            <w:pPr>
              <w:spacing w:line="300" w:lineRule="exact"/>
              <w:ind w:left="0" w:firstLine="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1013.2169</w:t>
            </w:r>
          </w:p>
        </w:tc>
        <w:tc>
          <w:tcPr>
            <w:tcW w:w="1792" w:type="dxa"/>
            <w:tcBorders>
              <w:top w:val="single" w:color="auto" w:sz="4" w:space="0"/>
            </w:tcBorders>
            <w:vAlign w:val="center"/>
          </w:tcPr>
          <w:p>
            <w:pPr>
              <w:spacing w:line="300" w:lineRule="exact"/>
              <w:ind w:left="0" w:leftChars="0" w:firstLine="0" w:firstLineChars="0"/>
              <w:jc w:val="center"/>
              <w:rPr>
                <w:rFonts w:hint="eastAsia" w:ascii="仿宋" w:hAnsi="仿宋" w:eastAsia="仿宋" w:cs="仿宋"/>
                <w:color w:val="auto"/>
                <w:kern w:val="0"/>
                <w:sz w:val="18"/>
                <w:szCs w:val="18"/>
                <w:highlight w:val="none"/>
              </w:rPr>
            </w:pPr>
            <w:r>
              <w:rPr>
                <w:rFonts w:hint="eastAsia" w:ascii="仿宋" w:hAnsi="仿宋" w:eastAsia="仿宋" w:cs="仿宋"/>
                <w:sz w:val="18"/>
                <w:szCs w:val="18"/>
                <w:highlight w:val="none"/>
              </w:rPr>
              <w:t>出让地块建设必须严格按照《内蒙古自治区建设用地规划条件书》的有关要求进行</w:t>
            </w:r>
          </w:p>
        </w:tc>
      </w:tr>
    </w:tbl>
    <w:p>
      <w:pPr>
        <w:keepNext w:val="0"/>
        <w:keepLines w:val="0"/>
        <w:pageBreakBefore w:val="0"/>
        <w:widowControl w:val="0"/>
        <w:tabs>
          <w:tab w:val="left" w:pos="7350"/>
        </w:tabs>
        <w:kinsoku/>
        <w:wordWrap/>
        <w:overflowPunct/>
        <w:topLinePunct w:val="0"/>
        <w:autoSpaceDN/>
        <w:bidi w:val="0"/>
        <w:adjustRightInd/>
        <w:snapToGrid/>
        <w:spacing w:line="540" w:lineRule="exact"/>
        <w:ind w:left="0" w:leftChars="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二、中华人民共和国境内外的法人、自然人和其他组织，除法律法规对申请人另有限制外，均可申请参加。本次挂牌不接受联合申请。</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工业项目用地，竞得人在项目审批时，除满足《工业项目建设用地控制指标》的要求外，还必须遵守城市规划、环境保护等法律法规，并符合国家的产业政策。</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房地产开发用地，申请竞买者须提交保证金不属于银行贷款、股东借款、转贷和募集资金的承诺书及商业金融机构的资信证明。</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w:t>
      </w:r>
      <w:r>
        <w:rPr>
          <w:rStyle w:val="18"/>
          <w:rFonts w:hint="eastAsia" w:ascii="仿宋" w:hAnsi="仿宋" w:eastAsia="仿宋" w:cs="仿宋"/>
          <w:b w:val="0"/>
          <w:color w:val="auto"/>
          <w:sz w:val="32"/>
          <w:szCs w:val="32"/>
          <w:highlight w:val="none"/>
          <w:shd w:val="clear" w:color="auto" w:fill="FFFFFF"/>
        </w:rPr>
        <w:t>竞价原则</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本次国有建设用地使用权挂牌出让按照价高者得原则确定竞得人。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四、本次挂牌出让的公告时间为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，详细资料和具体要求，以挂牌出让文件为准。申请人可于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到乌海市公共</w:t>
      </w:r>
      <w:r>
        <w:rPr>
          <w:rFonts w:hint="eastAsia" w:ascii="仿宋" w:hAnsi="仿宋" w:eastAsia="仿宋" w:cs="仿宋"/>
          <w:color w:val="auto"/>
          <w:sz w:val="32"/>
          <w:szCs w:val="32"/>
          <w:highlight w:val="none"/>
        </w:rPr>
        <w:t>资源交易中心或登陆网站（http:// zrzy.wuhai.gov.cn/或http://www.whggzy.com）或内蒙古自治区网上交易系统（http://110.16.70.81:8090/trade-engine/trade/index）获取本次挂牌出让的出让须知和有关资料（不包括法定节假日）。</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rPr>
        <w:t>五、本次挂牌地点为乌海市公共资源交易中心，</w:t>
      </w:r>
      <w:r>
        <w:rPr>
          <w:rFonts w:hint="eastAsia" w:ascii="仿宋" w:hAnsi="仿宋" w:eastAsia="仿宋" w:cs="仿宋"/>
          <w:color w:val="auto"/>
          <w:sz w:val="32"/>
          <w:szCs w:val="32"/>
          <w:highlight w:val="none"/>
        </w:rPr>
        <w:t>挂牌时间为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日9：00时至202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日16：00时</w:t>
      </w:r>
      <w:r>
        <w:rPr>
          <w:rFonts w:hint="eastAsia" w:ascii="仿宋" w:hAnsi="仿宋" w:eastAsia="仿宋" w:cs="仿宋"/>
          <w:color w:val="000000" w:themeColor="text1"/>
          <w:sz w:val="32"/>
          <w:szCs w:val="32"/>
          <w:highlight w:val="none"/>
          <w14:textFill>
            <w14:solidFill>
              <w14:schemeClr w14:val="tx1"/>
            </w14:solidFill>
          </w14:textFill>
        </w:rPr>
        <w:t>（不包括法定节</w:t>
      </w:r>
      <w:r>
        <w:rPr>
          <w:rFonts w:hint="eastAsia" w:ascii="仿宋" w:hAnsi="仿宋" w:eastAsia="仿宋" w:cs="仿宋"/>
          <w:color w:val="000000" w:themeColor="text1"/>
          <w:sz w:val="32"/>
          <w:szCs w:val="32"/>
          <w:highlight w:val="none"/>
          <w14:textFill>
            <w14:solidFill>
              <w14:schemeClr w14:val="tx1"/>
            </w14:solidFill>
          </w14:textFill>
        </w:rPr>
        <w:t>假日）。</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CA证书的办理流程详见乌海市公共资源交易中心网站办事指南中CA办理指南。</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竞买保证金缴纳</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八、确定竞得人的标准和方法</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hint="eastAsia" w:ascii="仿宋" w:hAnsi="仿宋" w:eastAsia="仿宋" w:cs="仿宋"/>
          <w:bCs/>
          <w:color w:val="000000" w:themeColor="text1"/>
          <w:sz w:val="32"/>
          <w:szCs w:val="32"/>
          <w:highlight w:val="none"/>
          <w14:textFill>
            <w14:solidFill>
              <w14:schemeClr w14:val="tx1"/>
            </w14:solidFill>
          </w14:textFill>
        </w:rPr>
        <w:t>（以资金划入指定账户为准）。</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s="仿宋"/>
          <w:color w:val="FF0000"/>
          <w:sz w:val="32"/>
          <w:szCs w:val="32"/>
          <w:highlight w:val="none"/>
          <w:shd w:val="clear" w:color="auto" w:fill="FFFFFF"/>
          <w:lang w:eastAsia="zh-CN"/>
        </w:rPr>
        <w:t>（</w:t>
      </w:r>
      <w:r>
        <w:rPr>
          <w:rFonts w:hint="eastAsia" w:ascii="仿宋" w:hAnsi="仿宋" w:eastAsia="仿宋" w:cs="仿宋"/>
          <w:color w:val="FF0000"/>
          <w:sz w:val="32"/>
          <w:szCs w:val="32"/>
          <w:highlight w:val="none"/>
          <w:shd w:val="clear" w:color="auto" w:fill="FFFFFF"/>
          <w:lang w:val="en-US" w:eastAsia="zh-CN"/>
        </w:rPr>
        <w:t>提示：竞买人报价后可以刷新页面确定报价是否成功，请不要连续点击报价按钮，避免重复报价）</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网上挂牌期限截止时，如果只有一个竞买人报价：设有底价的资源，交易系统判定报价是否低于底价,高于底价且符合其他条件的确定其为预竞得人;低于底价的,挂牌不成交。不设置底价的系统直接确定其为预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网上挂牌期限截止时，无人报价的，挂牌结束，资源不成交。</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九、查询网址：</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中国土地市场网 (http://www.landchina.com)</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乌海市自然资源局（http://zrzy.wuhai.gov.cn/)</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乌海市公共资源交易中心（</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"http://www.whggzy.com"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20"/>
          <w:rFonts w:hint="eastAsia" w:ascii="仿宋" w:hAnsi="仿宋" w:eastAsia="仿宋" w:cs="仿宋"/>
          <w:color w:val="000000" w:themeColor="text1"/>
          <w:sz w:val="32"/>
          <w:szCs w:val="32"/>
          <w:highlight w:val="none"/>
          <w:u w:val="none"/>
          <w14:textFill>
            <w14:solidFill>
              <w14:schemeClr w14:val="tx1"/>
            </w14:solidFill>
          </w14:textFill>
        </w:rPr>
        <w:t>http://www.whggzy.com</w:t>
      </w:r>
      <w:r>
        <w:rPr>
          <w:rStyle w:val="20"/>
          <w:rFonts w:hint="eastAsia" w:ascii="仿宋" w:hAnsi="仿宋" w:eastAsia="仿宋" w:cs="仿宋"/>
          <w:color w:val="000000" w:themeColor="text1"/>
          <w:sz w:val="32"/>
          <w:szCs w:val="32"/>
          <w:highlight w:val="none"/>
          <w:u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内蒙古自治区公共资源交易网(</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"http://ggzyjy.nmg.gov.cn/"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20"/>
          <w:rFonts w:hint="eastAsia" w:ascii="仿宋" w:hAnsi="仿宋" w:eastAsia="仿宋" w:cs="仿宋"/>
          <w:color w:val="000000" w:themeColor="text1"/>
          <w:sz w:val="32"/>
          <w:szCs w:val="32"/>
          <w:highlight w:val="none"/>
          <w:u w:val="none"/>
          <w14:textFill>
            <w14:solidFill>
              <w14:schemeClr w14:val="tx1"/>
            </w14:solidFill>
          </w14:textFill>
        </w:rPr>
        <w:t>http://ggzyjy.nmg.gov.cn/</w:t>
      </w:r>
      <w:r>
        <w:rPr>
          <w:rStyle w:val="20"/>
          <w:rFonts w:hint="eastAsia" w:ascii="仿宋" w:hAnsi="仿宋" w:eastAsia="仿宋" w:cs="仿宋"/>
          <w:color w:val="000000" w:themeColor="text1"/>
          <w:sz w:val="32"/>
          <w:szCs w:val="32"/>
          <w:highlight w:val="none"/>
          <w:u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left="479" w:leftChars="228" w:firstLine="160" w:firstLineChars="5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内蒙古自治区自然资源网上交易系统（http://110.16.70.81:8090/trade-engine/trade/index）</w:t>
      </w:r>
    </w:p>
    <w:p>
      <w:pPr>
        <w:keepNext w:val="0"/>
        <w:keepLines w:val="0"/>
        <w:pageBreakBefore w:val="0"/>
        <w:widowControl w:val="0"/>
        <w:kinsoku/>
        <w:wordWrap/>
        <w:overflowPunct/>
        <w:topLinePunct w:val="0"/>
        <w:autoSpaceDN/>
        <w:bidi w:val="0"/>
        <w:adjustRightInd/>
        <w:snapToGrid/>
        <w:spacing w:line="540" w:lineRule="exact"/>
        <w:ind w:left="0" w:firstLine="640" w:firstLineChars="200"/>
        <w:jc w:val="lef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十、乌海市公共资源交易中心联系人：王工   张工 </w:t>
      </w:r>
    </w:p>
    <w:p>
      <w:pPr>
        <w:keepNext w:val="0"/>
        <w:keepLines w:val="0"/>
        <w:pageBreakBefore w:val="0"/>
        <w:widowControl w:val="0"/>
        <w:kinsoku/>
        <w:wordWrap/>
        <w:overflowPunct/>
        <w:topLinePunct w:val="0"/>
        <w:autoSpaceDN/>
        <w:bidi w:val="0"/>
        <w:adjustRightInd/>
        <w:snapToGrid/>
        <w:spacing w:line="540" w:lineRule="exact"/>
        <w:ind w:left="6380" w:leftChars="600" w:hanging="5120" w:hangingChars="1600"/>
        <w:jc w:val="lef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乌海市公共资源交易中心联系电话：0473-2999715  0473-2999760</w:t>
      </w:r>
    </w:p>
    <w:p>
      <w:pPr>
        <w:keepNext w:val="0"/>
        <w:keepLines w:val="0"/>
        <w:pageBreakBefore w:val="0"/>
        <w:widowControl w:val="0"/>
        <w:kinsoku/>
        <w:wordWrap/>
        <w:overflowPunct/>
        <w:topLinePunct w:val="0"/>
        <w:autoSpaceDN/>
        <w:bidi w:val="0"/>
        <w:adjustRightInd/>
        <w:snapToGrid/>
        <w:spacing w:line="540" w:lineRule="exact"/>
        <w:ind w:left="0" w:firstLine="1280" w:firstLineChars="4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乌海市自然资源局海南分局联系人:刘婧 </w:t>
      </w:r>
    </w:p>
    <w:p>
      <w:pPr>
        <w:keepNext w:val="0"/>
        <w:keepLines w:val="0"/>
        <w:pageBreakBefore w:val="0"/>
        <w:widowControl w:val="0"/>
        <w:kinsoku/>
        <w:wordWrap/>
        <w:overflowPunct/>
        <w:topLinePunct w:val="0"/>
        <w:autoSpaceDN/>
        <w:bidi w:val="0"/>
        <w:adjustRightInd/>
        <w:snapToGrid/>
        <w:spacing w:line="540" w:lineRule="exact"/>
        <w:ind w:left="0" w:firstLine="1280" w:firstLineChars="4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乌海市自然资源局海南分局联系电话:0473-6977506</w:t>
      </w: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hint="eastAsia" w:ascii="仿宋" w:hAnsi="仿宋" w:eastAsia="仿宋" w:cs="仿宋"/>
          <w:color w:val="000000" w:themeColor="text1"/>
          <w:sz w:val="32"/>
          <w:szCs w:val="32"/>
          <w:highlight w:val="none"/>
          <w14:textFill>
            <w14:solidFill>
              <w14:schemeClr w14:val="tx1"/>
            </w14:solidFill>
          </w14:textFill>
        </w:rPr>
      </w:pPr>
    </w:p>
    <w:p>
      <w:pPr>
        <w:pStyle w:val="2"/>
        <w:ind w:left="0" w:leftChars="0" w:firstLine="0" w:firstLineChars="0"/>
        <w:rPr>
          <w:rFonts w:hint="eastAsia"/>
          <w:highlight w:val="none"/>
        </w:rPr>
      </w:pP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w:t>
      </w:r>
      <w:r>
        <w:rPr>
          <w:rFonts w:hint="eastAsia" w:ascii="仿宋" w:hAnsi="仿宋" w:eastAsia="仿宋" w:cs="仿宋"/>
          <w:color w:val="000000" w:themeColor="text1"/>
          <w:sz w:val="32"/>
          <w:szCs w:val="32"/>
          <w:highlight w:val="none"/>
          <w14:textFill>
            <w14:solidFill>
              <w14:schemeClr w14:val="tx1"/>
            </w14:solidFill>
          </w14:textFill>
        </w:rPr>
        <w:t>市公共资源交易中心</w:t>
      </w: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r>
        <w:rPr>
          <w:rFonts w:hint="eastAsia" w:ascii="仿宋" w:hAnsi="仿宋" w:eastAsia="仿宋"/>
          <w:color w:val="auto"/>
          <w:sz w:val="32"/>
          <w:szCs w:val="32"/>
          <w:highlight w:val="none"/>
        </w:rPr>
        <w:t xml:space="preserve"> </w:t>
      </w: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t>乌海市国有建设用地使用权挂牌出让须知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ottom"/>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海南区</w:t>
      </w:r>
      <w:r>
        <w:rPr>
          <w:rFonts w:hint="default" w:ascii="Times New Roman" w:hAnsi="Times New Roman" w:eastAsia="仿宋" w:cs="Times New Roman"/>
          <w:color w:val="000000" w:themeColor="text1"/>
          <w:sz w:val="32"/>
          <w:szCs w:val="32"/>
          <w:highlight w:val="none"/>
          <w14:textFill>
            <w14:solidFill>
              <w14:schemeClr w14:val="tx1"/>
            </w14:solidFill>
          </w14:textFill>
        </w:rPr>
        <w:t>人民政府批准，乌海市自然资源局</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海南</w:t>
      </w:r>
      <w:r>
        <w:rPr>
          <w:rFonts w:hint="default" w:ascii="Times New Roman" w:hAnsi="Times New Roman" w:eastAsia="仿宋" w:cs="Times New Roman"/>
          <w:color w:val="000000" w:themeColor="text1"/>
          <w:sz w:val="32"/>
          <w:szCs w:val="32"/>
          <w:highlight w:val="none"/>
          <w14:textFill>
            <w14:solidFill>
              <w14:schemeClr w14:val="tx1"/>
            </w14:solidFill>
          </w14:textFill>
        </w:rPr>
        <w:t>分局以挂牌方式出让</w:t>
      </w:r>
      <w:r>
        <w:rPr>
          <w:rFonts w:hint="eastAsia"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14:textFill>
            <w14:solidFill>
              <w14:schemeClr w14:val="tx1"/>
            </w14:solidFill>
          </w14:textFill>
        </w:rPr>
        <w:t>宗地块的国有建设用地使用权。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一、本次国有建设用地使用权挂牌出让的出让人为乌海市自然资源局</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海南</w:t>
      </w:r>
      <w:r>
        <w:rPr>
          <w:rFonts w:hint="default" w:ascii="Times New Roman" w:hAnsi="Times New Roman" w:eastAsia="仿宋" w:cs="Times New Roman"/>
          <w:color w:val="000000" w:themeColor="text1"/>
          <w:sz w:val="32"/>
          <w:szCs w:val="32"/>
          <w:highlight w:val="none"/>
          <w14:textFill>
            <w14:solidFill>
              <w14:schemeClr w14:val="tx1"/>
            </w14:solidFill>
          </w14:textFill>
        </w:rPr>
        <w:t>分局，具体组织实施由乌海市公共资源交易中心负责。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二、本次国有建设用地使用权挂牌出让遵循公开、公平、公正和诚实信用的原则。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三、出让地块的基本情况及规划指标要求等：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一号地块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（一）地块位置：</w:t>
      </w:r>
      <w:r>
        <w:rPr>
          <w:rFonts w:hint="default" w:ascii="Times New Roman" w:hAnsi="Times New Roman" w:eastAsia="仿宋" w:cs="Times New Roman"/>
          <w:color w:val="auto"/>
          <w:kern w:val="2"/>
          <w:sz w:val="32"/>
          <w:szCs w:val="32"/>
          <w:highlight w:val="none"/>
          <w:lang w:val="en-US" w:eastAsia="zh-CN" w:bidi="ar-SA"/>
        </w:rPr>
        <w:t>乌海市海南区巴音陶亥街以南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（二）出让面积：</w:t>
      </w:r>
      <w:r>
        <w:rPr>
          <w:rFonts w:hint="default" w:ascii="Times New Roman" w:hAnsi="Times New Roman" w:eastAsia="仿宋" w:cs="Times New Roman"/>
          <w:color w:val="auto"/>
          <w:kern w:val="2"/>
          <w:sz w:val="32"/>
          <w:szCs w:val="32"/>
          <w:highlight w:val="none"/>
          <w:lang w:val="en-US" w:eastAsia="zh-CN" w:bidi="ar-SA"/>
        </w:rPr>
        <w:t>28066.95</w:t>
      </w:r>
      <w:r>
        <w:rPr>
          <w:rFonts w:hint="default" w:ascii="Times New Roman" w:hAnsi="Times New Roman" w:eastAsia="仿宋" w:cs="Times New Roman"/>
          <w:b w:val="0"/>
          <w:bCs w:val="0"/>
          <w:color w:val="auto"/>
          <w:kern w:val="2"/>
          <w:sz w:val="32"/>
          <w:szCs w:val="32"/>
          <w:highlight w:val="none"/>
          <w:lang w:val="en-US" w:eastAsia="zh-CN"/>
        </w:rPr>
        <w:t>平方米</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（三）土地用途：</w:t>
      </w:r>
      <w:r>
        <w:rPr>
          <w:rFonts w:hint="default" w:ascii="Times New Roman" w:hAnsi="Times New Roman" w:eastAsia="仿宋" w:cs="Times New Roman"/>
          <w:kern w:val="0"/>
          <w:sz w:val="32"/>
          <w:szCs w:val="32"/>
          <w:highlight w:val="none"/>
          <w:lang w:val="en-US" w:eastAsia="zh-CN" w:bidi="ar-SA"/>
        </w:rPr>
        <w:t>住宅兼容商业（兼容比例不大于10%）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（四）使用年期：</w:t>
      </w:r>
      <w:r>
        <w:rPr>
          <w:rFonts w:hint="default" w:ascii="Times New Roman" w:hAnsi="Times New Roman" w:eastAsia="仿宋" w:cs="Times New Roman"/>
          <w:color w:val="auto"/>
          <w:kern w:val="2"/>
          <w:sz w:val="32"/>
          <w:szCs w:val="32"/>
          <w:highlight w:val="none"/>
          <w:lang w:val="en-US" w:eastAsia="zh-CN" w:bidi="ar-SA"/>
        </w:rPr>
        <w:t>住宅70年、商业40年</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（五）建设时间：</w:t>
      </w:r>
      <w:r>
        <w:rPr>
          <w:rFonts w:hint="default" w:ascii="Times New Roman" w:hAnsi="Times New Roman" w:eastAsia="仿宋" w:cs="Times New Roman"/>
          <w:sz w:val="32"/>
          <w:szCs w:val="32"/>
          <w:highlight w:val="none"/>
        </w:rPr>
        <w:t>出让合同约定的动工开发期限内动工，两年内建设完成</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（六）</w:t>
      </w:r>
      <w:r>
        <w:rPr>
          <w:rFonts w:hint="default" w:ascii="Times New Roman" w:hAnsi="Times New Roman" w:eastAsia="仿宋" w:cs="Times New Roman"/>
          <w:sz w:val="32"/>
          <w:szCs w:val="32"/>
          <w:highlight w:val="none"/>
        </w:rPr>
        <w:t>规划用地性质：</w:t>
      </w:r>
      <w:r>
        <w:rPr>
          <w:rFonts w:hint="default" w:ascii="Times New Roman" w:hAnsi="Times New Roman" w:eastAsia="仿宋" w:cs="Times New Roman"/>
          <w:kern w:val="0"/>
          <w:sz w:val="32"/>
          <w:szCs w:val="32"/>
          <w:highlight w:val="none"/>
          <w:lang w:val="en-US" w:eastAsia="zh-CN" w:bidi="ar-SA"/>
        </w:rPr>
        <w:t>住宅兼容商业（兼容比例不大于10%）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（七）</w:t>
      </w:r>
      <w:r>
        <w:rPr>
          <w:rFonts w:hint="default" w:ascii="Times New Roman" w:hAnsi="Times New Roman" w:eastAsia="仿宋" w:cs="Times New Roman"/>
          <w:sz w:val="32"/>
          <w:szCs w:val="32"/>
          <w:highlight w:val="none"/>
        </w:rPr>
        <w:t>容积率：</w:t>
      </w:r>
      <w:r>
        <w:rPr>
          <w:rFonts w:hint="default" w:ascii="Times New Roman" w:hAnsi="Times New Roman" w:eastAsia="仿宋" w:cs="Times New Roman"/>
          <w:sz w:val="32"/>
          <w:szCs w:val="32"/>
          <w:highlight w:val="none"/>
          <w:lang w:val="en-US" w:eastAsia="zh-CN"/>
        </w:rPr>
        <w:t>≥1，≤2.0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（八）</w:t>
      </w:r>
      <w:r>
        <w:rPr>
          <w:rFonts w:hint="default" w:ascii="Times New Roman" w:hAnsi="Times New Roman" w:eastAsia="仿宋" w:cs="Times New Roman"/>
          <w:sz w:val="32"/>
          <w:szCs w:val="32"/>
          <w:highlight w:val="none"/>
        </w:rPr>
        <w:t>建筑</w:t>
      </w:r>
      <w:r>
        <w:rPr>
          <w:rFonts w:hint="default" w:ascii="Times New Roman" w:hAnsi="Times New Roman" w:eastAsia="仿宋" w:cs="Times New Roman"/>
          <w:sz w:val="32"/>
          <w:szCs w:val="32"/>
          <w:highlight w:val="none"/>
          <w:lang w:val="en-US" w:eastAsia="zh-CN"/>
        </w:rPr>
        <w:t>密度</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≤30</w:t>
      </w:r>
      <w:r>
        <w:rPr>
          <w:rFonts w:hint="default" w:ascii="Times New Roman" w:hAnsi="Times New Roman"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九</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绿地率：</w:t>
      </w:r>
      <w:r>
        <w:rPr>
          <w:rFonts w:hint="default" w:ascii="Times New Roman" w:hAnsi="Times New Roman" w:eastAsia="仿宋" w:cs="Times New Roman"/>
          <w:sz w:val="32"/>
          <w:szCs w:val="32"/>
          <w:highlight w:val="none"/>
          <w:lang w:val="en-US" w:eastAsia="zh-CN"/>
        </w:rPr>
        <w:t>≥30</w:t>
      </w:r>
      <w:r>
        <w:rPr>
          <w:rFonts w:hint="default" w:ascii="Times New Roman" w:hAnsi="Times New Roman" w:eastAsia="仿宋"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（十）建筑限高：≤60米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十一</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建筑物退让：</w:t>
      </w:r>
      <w:r>
        <w:rPr>
          <w:rFonts w:hint="default" w:ascii="Times New Roman" w:hAnsi="Times New Roman" w:eastAsia="仿宋" w:cs="Times New Roman"/>
          <w:sz w:val="32"/>
          <w:szCs w:val="32"/>
          <w:highlight w:val="none"/>
          <w:lang w:val="en-US" w:eastAsia="zh-CN"/>
        </w:rPr>
        <w:t>沿用地东侧、南侧、西侧布置的建筑应退让用地红线不小于3米</w:t>
      </w:r>
      <w:r>
        <w:rPr>
          <w:rFonts w:hint="default" w:ascii="Times New Roman" w:hAnsi="Times New Roman" w:eastAsia="仿宋" w:cs="Times New Roman"/>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（十二）</w:t>
      </w:r>
      <w:r>
        <w:rPr>
          <w:rFonts w:hint="default" w:ascii="Times New Roman" w:hAnsi="Times New Roman" w:eastAsia="仿宋" w:cs="Times New Roman"/>
          <w:sz w:val="32"/>
          <w:szCs w:val="32"/>
          <w:highlight w:val="none"/>
        </w:rPr>
        <w:t>该地块现状为</w:t>
      </w:r>
      <w:r>
        <w:rPr>
          <w:rFonts w:hint="default" w:ascii="Times New Roman" w:hAnsi="Times New Roman" w:eastAsia="仿宋" w:cs="Times New Roman"/>
          <w:color w:val="auto"/>
          <w:kern w:val="2"/>
          <w:sz w:val="32"/>
          <w:szCs w:val="32"/>
          <w:highlight w:val="none"/>
          <w:lang w:val="en-US" w:eastAsia="zh-CN" w:bidi="ar-SA"/>
        </w:rPr>
        <w:t>乌海市海南区巴音陶亥街以南</w:t>
      </w:r>
      <w:r>
        <w:rPr>
          <w:rFonts w:hint="default" w:ascii="Times New Roman" w:hAnsi="Times New Roman" w:eastAsia="仿宋" w:cs="Times New Roman"/>
          <w:kern w:val="0"/>
          <w:sz w:val="32"/>
          <w:szCs w:val="32"/>
          <w:highlight w:val="none"/>
          <w:lang w:val="en-US" w:eastAsia="zh-CN" w:bidi="ar-SA"/>
        </w:rPr>
        <w:t>地块，</w:t>
      </w:r>
      <w:r>
        <w:rPr>
          <w:rFonts w:hint="default" w:ascii="Times New Roman" w:hAnsi="Times New Roman" w:eastAsia="仿宋" w:cs="Times New Roman"/>
          <w:sz w:val="32"/>
          <w:szCs w:val="32"/>
          <w:highlight w:val="none"/>
        </w:rPr>
        <w:t>属于净地挂牌出让。该出让地块范围内如有树木、供电、市政设施等，受让人可结合规划设计方案保留，对不需要保留的，由受让人自行与有关部门</w:t>
      </w:r>
      <w:r>
        <w:rPr>
          <w:rFonts w:hint="default" w:ascii="Times New Roman" w:hAnsi="Times New Roman" w:eastAsia="仿宋" w:cs="Times New Roman"/>
          <w:sz w:val="32"/>
          <w:szCs w:val="32"/>
          <w:highlight w:val="none"/>
          <w:lang w:val="en-US" w:eastAsia="zh-CN"/>
        </w:rPr>
        <w:t>进行</w:t>
      </w:r>
      <w:r>
        <w:rPr>
          <w:rFonts w:hint="default" w:ascii="Times New Roman" w:hAnsi="Times New Roman" w:eastAsia="仿宋" w:cs="Times New Roman"/>
          <w:sz w:val="32"/>
          <w:szCs w:val="32"/>
          <w:highlight w:val="none"/>
        </w:rPr>
        <w:t>解决，并承担所需费用。如需要考古或地下有构筑物、其他设施等，由受让人自行与有关部门协商解决，并承担所需费用。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sz w:val="32"/>
          <w:szCs w:val="32"/>
          <w:highlight w:val="none"/>
          <w:lang w:val="en-US" w:eastAsia="zh-CN"/>
        </w:rPr>
        <w:t>（十三）</w:t>
      </w:r>
      <w:r>
        <w:rPr>
          <w:rFonts w:hint="default" w:ascii="Times New Roman" w:hAnsi="Times New Roman" w:eastAsia="仿宋" w:cs="Times New Roman"/>
          <w:color w:val="000000" w:themeColor="text1"/>
          <w:sz w:val="32"/>
          <w:szCs w:val="32"/>
          <w:highlight w:val="none"/>
          <w14:textFill>
            <w14:solidFill>
              <w14:schemeClr w14:val="tx1"/>
            </w14:solidFill>
          </w14:textFill>
        </w:rPr>
        <w:t>出让地块的空间范围须符合城市规划管理的有关要求；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ottom"/>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（十四）</w:t>
      </w:r>
      <w:r>
        <w:rPr>
          <w:rFonts w:hint="default" w:ascii="Times New Roman" w:hAnsi="Times New Roman" w:eastAsia="仿宋" w:cs="Times New Roman"/>
          <w:sz w:val="32"/>
          <w:szCs w:val="32"/>
          <w:highlight w:val="none"/>
        </w:rPr>
        <w:t>其他要求：出让地块建设必须严格按照《内蒙古自治区建设用地规划条件书》条字第15030320</w:t>
      </w:r>
      <w:r>
        <w:rPr>
          <w:rFonts w:hint="default" w:ascii="Times New Roman" w:hAnsi="Times New Roman" w:eastAsia="仿宋" w:cs="Times New Roman"/>
          <w:sz w:val="32"/>
          <w:szCs w:val="32"/>
          <w:highlight w:val="none"/>
          <w:lang w:val="en-US" w:eastAsia="zh-CN"/>
        </w:rPr>
        <w:t>23</w:t>
      </w:r>
      <w:r>
        <w:rPr>
          <w:rFonts w:hint="default" w:ascii="Times New Roman" w:hAnsi="Times New Roman" w:eastAsia="仿宋" w:cs="Times New Roman"/>
          <w:color w:val="auto"/>
          <w:sz w:val="32"/>
          <w:szCs w:val="32"/>
          <w:highlight w:val="none"/>
          <w:lang w:eastAsia="zh-CN"/>
        </w:rPr>
        <w:t>000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sz w:val="32"/>
          <w:szCs w:val="32"/>
          <w:highlight w:val="none"/>
        </w:rPr>
        <w:t>号的有关要求进行。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ottom"/>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四、竞买资格及要求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交纳竞买保证金的截止时间为</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月</w:t>
      </w:r>
      <w:r>
        <w:rPr>
          <w:rFonts w:hint="eastAsia"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日16：00时</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地块一：</w:t>
      </w:r>
      <w:r>
        <w:rPr>
          <w:rFonts w:hint="default" w:ascii="Times New Roman" w:hAnsi="Times New Roman" w:eastAsia="仿宋" w:cs="Times New Roman"/>
          <w:color w:val="auto"/>
          <w:kern w:val="2"/>
          <w:sz w:val="32"/>
          <w:szCs w:val="32"/>
          <w:highlight w:val="none"/>
          <w:lang w:val="en-US" w:eastAsia="zh-CN" w:bidi="ar-SA"/>
        </w:rPr>
        <w:t>1013.2169</w:t>
      </w:r>
      <w:r>
        <w:rPr>
          <w:rFonts w:hint="default" w:ascii="Times New Roman" w:hAnsi="Times New Roman" w:eastAsia="仿宋" w:cs="Times New Roman"/>
          <w:b w:val="0"/>
          <w:bCs w:val="0"/>
          <w:color w:val="auto"/>
          <w:kern w:val="2"/>
          <w:sz w:val="32"/>
          <w:szCs w:val="32"/>
          <w:highlight w:val="none"/>
          <w:lang w:val="en-US" w:eastAsia="zh-CN"/>
        </w:rPr>
        <w:t>万元</w:t>
      </w:r>
      <w:r>
        <w:rPr>
          <w:rFonts w:hint="default" w:ascii="Times New Roman" w:hAnsi="Times New Roman" w:eastAsia="仿宋" w:cs="Times New Roman"/>
          <w:b w:val="0"/>
          <w:bCs w:val="0"/>
          <w:color w:val="auto"/>
          <w:spacing w:val="0"/>
          <w:sz w:val="32"/>
          <w:szCs w:val="32"/>
          <w:highlight w:val="none"/>
          <w:lang w:val="en-US" w:eastAsia="zh-CN"/>
        </w:rPr>
        <w:t>（</w:t>
      </w:r>
      <w:r>
        <w:rPr>
          <w:rFonts w:hint="default" w:ascii="Times New Roman" w:hAnsi="Times New Roman" w:eastAsia="仿宋" w:cs="Times New Roman"/>
          <w:color w:val="auto"/>
          <w:kern w:val="2"/>
          <w:sz w:val="32"/>
          <w:szCs w:val="32"/>
          <w:highlight w:val="none"/>
          <w:lang w:val="en-US" w:eastAsia="zh-CN" w:bidi="ar-SA"/>
        </w:rPr>
        <w:t>壹仟零壹拾叁万贰仟壹佰陆拾玖元整</w:t>
      </w:r>
      <w:r>
        <w:rPr>
          <w:rFonts w:hint="default" w:ascii="Times New Roman" w:hAnsi="Times New Roman" w:eastAsia="仿宋" w:cs="Times New Roman"/>
          <w:b w:val="0"/>
          <w:bCs w:val="0"/>
          <w:color w:val="auto"/>
          <w:spacing w:val="0"/>
          <w:sz w:val="32"/>
          <w:szCs w:val="32"/>
          <w:highlight w:val="none"/>
          <w:lang w:val="en-US" w:eastAsia="zh-CN"/>
        </w:rPr>
        <w:t>）</w:t>
      </w:r>
      <w:r>
        <w:rPr>
          <w:rFonts w:hint="default" w:ascii="Times New Roman" w:hAnsi="Times New Roman" w:eastAsia="仿宋"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宗地的挂牌起始价：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地块一：</w:t>
      </w:r>
      <w:r>
        <w:rPr>
          <w:rFonts w:hint="default" w:ascii="Times New Roman" w:hAnsi="Times New Roman" w:eastAsia="仿宋" w:cs="Times New Roman"/>
          <w:color w:val="auto"/>
          <w:kern w:val="2"/>
          <w:sz w:val="32"/>
          <w:szCs w:val="32"/>
          <w:highlight w:val="none"/>
          <w:lang w:val="en-US" w:eastAsia="zh-CN" w:bidi="ar-SA"/>
        </w:rPr>
        <w:t>1013.2169</w:t>
      </w:r>
      <w:r>
        <w:rPr>
          <w:rFonts w:hint="default" w:ascii="Times New Roman" w:hAnsi="Times New Roman" w:eastAsia="仿宋" w:cs="Times New Roman"/>
          <w:b w:val="0"/>
          <w:bCs w:val="0"/>
          <w:color w:val="auto"/>
          <w:kern w:val="2"/>
          <w:sz w:val="32"/>
          <w:szCs w:val="32"/>
          <w:highlight w:val="none"/>
          <w:lang w:val="en-US" w:eastAsia="zh-CN"/>
        </w:rPr>
        <w:t>万元</w:t>
      </w:r>
      <w:r>
        <w:rPr>
          <w:rFonts w:hint="default" w:ascii="Times New Roman" w:hAnsi="Times New Roman" w:eastAsia="仿宋" w:cs="Times New Roman"/>
          <w:b w:val="0"/>
          <w:bCs w:val="0"/>
          <w:color w:val="auto"/>
          <w:spacing w:val="0"/>
          <w:sz w:val="32"/>
          <w:szCs w:val="32"/>
          <w:highlight w:val="none"/>
          <w:lang w:val="en-US" w:eastAsia="zh-CN"/>
        </w:rPr>
        <w:t>（</w:t>
      </w:r>
      <w:r>
        <w:rPr>
          <w:rFonts w:hint="default" w:ascii="Times New Roman" w:hAnsi="Times New Roman" w:eastAsia="仿宋" w:cs="Times New Roman"/>
          <w:color w:val="auto"/>
          <w:kern w:val="2"/>
          <w:sz w:val="32"/>
          <w:szCs w:val="32"/>
          <w:highlight w:val="none"/>
          <w:lang w:val="en-US" w:eastAsia="zh-CN" w:bidi="ar-SA"/>
        </w:rPr>
        <w:t>壹仟零壹拾叁万贰仟壹佰陆拾玖元整</w:t>
      </w:r>
      <w:r>
        <w:rPr>
          <w:rFonts w:hint="default" w:ascii="Times New Roman" w:hAnsi="Times New Roman" w:eastAsia="仿宋" w:cs="Times New Roman"/>
          <w:b w:val="0"/>
          <w:bCs w:val="0"/>
          <w:color w:val="auto"/>
          <w:spacing w:val="0"/>
          <w:sz w:val="32"/>
          <w:szCs w:val="32"/>
          <w:highlight w:val="none"/>
          <w:lang w:val="en-US" w:eastAsia="zh-CN"/>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，增价幅度为每竞价一次增加人民币5万元（伍万元）。</w:t>
      </w:r>
    </w:p>
    <w:p>
      <w:pPr>
        <w:keepNext w:val="0"/>
        <w:keepLines w:val="0"/>
        <w:pageBreakBefore w:val="0"/>
        <w:widowControl w:val="0"/>
        <w:tabs>
          <w:tab w:val="left" w:pos="366"/>
        </w:tabs>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五、网上竞买申请流程</w:t>
      </w:r>
      <w:r>
        <w:rPr>
          <w:rFonts w:hint="default" w:ascii="Times New Roman" w:hAnsi="Times New Roman" w:eastAsia="仿宋" w:cs="Times New Roman"/>
          <w:color w:val="000000" w:themeColor="text1"/>
          <w:sz w:val="32"/>
          <w:szCs w:val="32"/>
          <w:highlight w:val="none"/>
          <w14:textFill>
            <w14:solidFill>
              <w14:schemeClr w14:val="tx1"/>
            </w14:solidFill>
          </w14:textFill>
        </w:rPr>
        <w:tab/>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w:t>
      </w:r>
      <w:r>
        <w:rPr>
          <w:rFonts w:hint="default" w:ascii="Times New Roman" w:hAnsi="Times New Roman" w:eastAsia="仿宋" w:cs="Times New Roman"/>
          <w:bCs/>
          <w:color w:val="000000" w:themeColor="text1"/>
          <w:sz w:val="32"/>
          <w:szCs w:val="32"/>
          <w:highlight w:val="none"/>
          <w14:textFill>
            <w14:solidFill>
              <w14:schemeClr w14:val="tx1"/>
            </w14:solidFill>
          </w14:textFill>
        </w:rPr>
        <w:t>CA数字证书的获取及绑定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sz w:val="32"/>
          <w:szCs w:val="32"/>
          <w:highlight w:val="none"/>
          <w14:textFill>
            <w14:solidFill>
              <w14:schemeClr w14:val="tx1"/>
            </w14:solidFill>
          </w14:textFill>
        </w:rPr>
        <w:t>1、获取方式</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2、CA数字证书驱动下载及系统绑定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（1）在计算机上插入</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CA数字证书</w:t>
      </w:r>
      <w:r>
        <w:rPr>
          <w:rFonts w:hint="default" w:ascii="Times New Roman" w:hAnsi="Times New Roman" w:eastAsia="仿宋" w:cs="Times New Roman"/>
          <w:color w:val="000000" w:themeColor="text1"/>
          <w:sz w:val="32"/>
          <w:szCs w:val="32"/>
          <w:highlight w:val="none"/>
          <w14:textFill>
            <w14:solidFill>
              <w14:schemeClr w14:val="tx1"/>
            </w14:solidFill>
          </w14:textFill>
        </w:rPr>
        <w:t>，打开IE浏览器输入网址：http://110.16.70.81:8090/trade-engine/trade/index进入内蒙古自治区国土资源交易系统首页（IE浏览器版本不得低于IE10）；</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（2）点击“服务中心”，进入资料下载列表，在此可下载</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CA数字证书驱动</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（3）驱动安装完成后在“网上交易系统”左上方点击“请登录”按钮进入到系统登录页面，点击“互认平台认证登陆”，页面自动跳转至</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内蒙古自治区统一认证平台</w:t>
      </w:r>
      <w:r>
        <w:rPr>
          <w:rFonts w:hint="default" w:ascii="Times New Roman" w:hAnsi="Times New Roman" w:eastAsia="仿宋" w:cs="Times New Roman"/>
          <w:color w:val="000000" w:themeColor="text1"/>
          <w:sz w:val="32"/>
          <w:szCs w:val="32"/>
          <w:highlight w:val="none"/>
          <w14:textFill>
            <w14:solidFill>
              <w14:schemeClr w14:val="tx1"/>
            </w14:solidFill>
          </w14:textFill>
        </w:rPr>
        <w:t>，需先点击“互认平台认证登录”输入密码进行CA认证，最后点击“进入授权”按钮，登录成功。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本次土地挂牌出让采用网上竞买申请的方式，竞买人在报名期内插入CA数字证书使用IE浏览器（IE浏览器版本不得低于IE10）登录内蒙古自治区国土资源交易系统（http://110.16.70.81:8090/trade-engine/trade/index）点击预申购的资源。</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（三）竞买申请书填写</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bCs/>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填写《竞买申请书》，填写完成后点击“下载签章文件”按钮，将签章文件保存至计算机。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bCs/>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sz w:val="32"/>
          <w:szCs w:val="32"/>
          <w:highlight w:val="none"/>
          <w14:textFill>
            <w14:solidFill>
              <w14:schemeClr w14:val="tx1"/>
            </w14:solidFill>
          </w14:textFill>
        </w:rPr>
        <w:t>1、在线签章</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将章放置指定位置点击鼠标左键，签章完成会自动覆盖下载的文件；之后点击“文件保存”按钮</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在弹出的窗口中选定签章后的文件</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保存成功后将页面拉至底部</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点击下一步。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bCs/>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sz w:val="32"/>
          <w:szCs w:val="32"/>
          <w:highlight w:val="none"/>
          <w14:textFill>
            <w14:solidFill>
              <w14:schemeClr w14:val="tx1"/>
            </w14:solidFill>
          </w14:textFill>
        </w:rPr>
        <w:t>2、保证金缴纳</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bCs/>
          <w:color w:val="000000" w:themeColor="text1"/>
          <w:sz w:val="32"/>
          <w:szCs w:val="32"/>
          <w:highlight w:val="none"/>
          <w14:textFill>
            <w14:solidFill>
              <w14:schemeClr w14:val="tx1"/>
            </w14:solidFill>
          </w14:textFill>
        </w:rPr>
      </w:pPr>
      <w:r>
        <w:rPr>
          <w:rFonts w:hint="default" w:ascii="Times New Roman" w:hAnsi="Times New Roman" w:eastAsia="仿宋" w:cs="Times New Roman"/>
          <w:bCs/>
          <w:color w:val="000000" w:themeColor="text1"/>
          <w:sz w:val="32"/>
          <w:szCs w:val="32"/>
          <w:highlight w:val="none"/>
          <w14:textFill>
            <w14:solidFill>
              <w14:schemeClr w14:val="tx1"/>
            </w14:solidFill>
          </w14:textFill>
        </w:rPr>
        <w:t>注：如对系统操作存在疑问，可点击交易系统“服务中心”栏目下的“资料下载”功能下载用户操作手册。</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六、网上挂牌报价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default" w:ascii="Times New Roman" w:hAnsi="Times New Roman" w:eastAsia="仿宋" w:cs="Times New Roman"/>
          <w:color w:val="FF0000"/>
          <w:sz w:val="32"/>
          <w:szCs w:val="32"/>
          <w:highlight w:val="none"/>
          <w:shd w:val="clear" w:color="auto" w:fill="FFFFFF"/>
          <w:lang w:eastAsia="zh-CN"/>
        </w:rPr>
        <w:t>（</w:t>
      </w:r>
      <w:r>
        <w:rPr>
          <w:rFonts w:hint="default" w:ascii="Times New Roman" w:hAnsi="Times New Roman" w:eastAsia="仿宋" w:cs="Times New Roman"/>
          <w:color w:val="FF0000"/>
          <w:sz w:val="32"/>
          <w:szCs w:val="32"/>
          <w:highlight w:val="none"/>
          <w:shd w:val="clear" w:color="auto" w:fill="FFFFFF"/>
          <w:lang w:val="en-US" w:eastAsia="zh-CN"/>
        </w:rPr>
        <w:t>提示：竞买人报价后可以刷新页面确定报价是否成功，请不要连续点击报价按钮，避免重复报价）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挂牌期内竞买人可以多次出价，每次报价必须按增价幅度的倍数报价且高于当前最高有效报价。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特别提示：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竞买人须在资源挂牌期间进行一次网上有效报价，才有资格参加之后的限时竞价环节，否则视为自动放弃竞买权。</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七、限时竞价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（一）询问期：资源挂牌期截止后，有两个以上的竞买人参与挂牌报价，系统自动进入</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3</w:t>
      </w:r>
      <w:r>
        <w:rPr>
          <w:rFonts w:hint="default" w:ascii="Times New Roman" w:hAnsi="Times New Roman" w:eastAsia="仿宋" w:cs="Times New Roman"/>
          <w:color w:val="000000" w:themeColor="text1"/>
          <w:sz w:val="32"/>
          <w:szCs w:val="32"/>
          <w:highlight w:val="none"/>
          <w14:textFill>
            <w14:solidFill>
              <w14:schemeClr w14:val="tx1"/>
            </w14:solidFill>
          </w14:textFill>
        </w:rPr>
        <w:t>分钟询问期，询问期结束后，进入限时竞价环节；</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（二）限时竞价：进入限时竞价环节的竞买人需在系统设定的倒计时时间内进行报价，报价应是增价幅度的倍数，系统以</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分钟倒计时为竞价时限，如在</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分钟倒计时内有新的报价，系统即从接受新报价之时起重置竞价时限，竞买人可参加新一轮的报价。</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分钟倒计时内无人报价，则在该地块</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4</w:t>
      </w:r>
      <w:r>
        <w:rPr>
          <w:rFonts w:hint="default" w:ascii="Times New Roman" w:hAnsi="Times New Roman" w:eastAsia="仿宋" w:cs="Times New Roman"/>
          <w:color w:val="000000" w:themeColor="text1"/>
          <w:sz w:val="32"/>
          <w:szCs w:val="32"/>
          <w:highlight w:val="none"/>
          <w14:textFill>
            <w14:solidFill>
              <w14:schemeClr w14:val="tx1"/>
            </w14:solidFill>
          </w14:textFill>
        </w:rPr>
        <w:t>分钟倒计时结束时自动关闭竞价通道，系统确定当前最高有效报价，限时竞价结束。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（四）预竞得人登录“网上交易系统”在“个人中心-&gt;我的文档”中打印《国有土地使用权预成交确认书》。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八、资质审查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3" w:firstLineChars="200"/>
        <w:rPr>
          <w:rFonts w:hint="default" w:ascii="Times New Roman" w:hAnsi="Times New Roman" w:eastAsia="仿宋" w:cs="Times New Roman"/>
          <w:b/>
          <w:bCs/>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预竞得人在系统签发《国有土地使用权预成交确认书》的2个工作日内，将企业营业执照</w:t>
      </w:r>
      <w:r>
        <w:rPr>
          <w:rFonts w:hint="default" w:ascii="Times New Roman" w:hAnsi="Times New Roman" w:eastAsia="仿宋" w:cs="Times New Roman"/>
          <w:b/>
          <w:bCs/>
          <w:color w:val="FF0000"/>
          <w:sz w:val="32"/>
          <w:szCs w:val="32"/>
          <w:highlight w:val="none"/>
        </w:rPr>
        <w:t>原件扫描件</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、法定代表人身份证</w:t>
      </w:r>
      <w:r>
        <w:rPr>
          <w:rFonts w:hint="default" w:ascii="Times New Roman" w:hAnsi="Times New Roman" w:eastAsia="仿宋" w:cs="Times New Roman"/>
          <w:b/>
          <w:bCs/>
          <w:color w:val="FF0000"/>
          <w:sz w:val="32"/>
          <w:szCs w:val="32"/>
          <w:highlight w:val="none"/>
        </w:rPr>
        <w:t>原件扫描件</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、如委托他人办理的须上传委托书及受托人身份证</w:t>
      </w:r>
      <w:r>
        <w:rPr>
          <w:rFonts w:hint="default" w:ascii="Times New Roman" w:hAnsi="Times New Roman" w:eastAsia="仿宋" w:cs="Times New Roman"/>
          <w:b/>
          <w:bCs/>
          <w:color w:val="FF0000"/>
          <w:sz w:val="32"/>
          <w:szCs w:val="32"/>
          <w:highlight w:val="none"/>
        </w:rPr>
        <w:t>原件扫描件</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、《国有土地使用权预成交确认书》</w:t>
      </w:r>
      <w:r>
        <w:rPr>
          <w:rFonts w:hint="default" w:ascii="Times New Roman" w:hAnsi="Times New Roman" w:eastAsia="仿宋"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t>保证金缴纳回执单</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上传至交易系统。</w:t>
      </w:r>
      <w:r>
        <w:rPr>
          <w:rFonts w:hint="default" w:ascii="Times New Roman" w:hAnsi="Times New Roman" w:eastAsia="仿宋" w:cs="Times New Roman"/>
          <w:b/>
          <w:bCs/>
          <w:color w:val="FF0000"/>
          <w:sz w:val="32"/>
          <w:szCs w:val="32"/>
          <w:highlight w:val="none"/>
        </w:rPr>
        <w:t>房地产开发和商业用地，预竞得人须上传保证金不属于银行贷款、股东借款、转贷和募集资金的承诺书及商业金融机构的资信证明</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。交易中心在线对其进行资格确认。通过资格确认的，交易中心签发《成交确认书》，未通过资格确认的取消其竞得资格。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九、成交确认</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十、结果公示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成交确认书签订后，出让人与交易机构10个工作日内在相关网站发布成交结果公示，公示期不少于5天。</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十一、保证金的处置</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交易公示结束后，未竞得人的保证金5个工作日原路退还至基本账户（不计利息），竞得人的保证金可转做国有土地使用权出让金。</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十二、</w:t>
      </w:r>
      <w:r>
        <w:rPr>
          <w:rFonts w:hint="default" w:ascii="Times New Roman" w:hAnsi="Times New Roman" w:eastAsia="仿宋" w:cs="Times New Roman"/>
          <w:color w:val="000000" w:themeColor="text1"/>
          <w:sz w:val="32"/>
          <w:szCs w:val="32"/>
          <w:highlight w:val="none"/>
          <w14:textFill>
            <w14:solidFill>
              <w14:schemeClr w14:val="tx1"/>
            </w14:solidFill>
          </w14:textFill>
        </w:rPr>
        <w:t>竞买人未按照公告及挂牌出让文件全部要求执行的，所造成的一切损失和法律后果由竞买人自行承担。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十三、</w:t>
      </w:r>
      <w:r>
        <w:rPr>
          <w:rFonts w:hint="default" w:ascii="Times New Roman" w:hAnsi="Times New Roman" w:eastAsia="仿宋" w:cs="Times New Roman"/>
          <w:color w:val="000000" w:themeColor="text1"/>
          <w:sz w:val="32"/>
          <w:szCs w:val="32"/>
          <w:highlight w:val="none"/>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十四、</w:t>
      </w:r>
      <w:r>
        <w:rPr>
          <w:rFonts w:hint="default" w:ascii="Times New Roman" w:hAnsi="Times New Roman" w:eastAsia="仿宋" w:cs="Times New Roman"/>
          <w:color w:val="000000" w:themeColor="text1"/>
          <w:sz w:val="32"/>
          <w:szCs w:val="32"/>
          <w:highlight w:val="none"/>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十五、</w:t>
      </w:r>
      <w:r>
        <w:rPr>
          <w:rFonts w:hint="default" w:ascii="Times New Roman" w:hAnsi="Times New Roman" w:eastAsia="仿宋" w:cs="Times New Roman"/>
          <w:color w:val="000000" w:themeColor="text1"/>
          <w:sz w:val="32"/>
          <w:szCs w:val="32"/>
          <w:highlight w:val="none"/>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十六、</w:t>
      </w:r>
      <w:r>
        <w:rPr>
          <w:rFonts w:hint="default" w:ascii="Times New Roman" w:hAnsi="Times New Roman" w:eastAsia="仿宋" w:cs="Times New Roman"/>
          <w:color w:val="000000" w:themeColor="text1"/>
          <w:sz w:val="32"/>
          <w:szCs w:val="32"/>
          <w:highlight w:val="none"/>
          <w14:textFill>
            <w14:solidFill>
              <w14:schemeClr w14:val="tx1"/>
            </w14:solidFill>
          </w14:textFill>
        </w:rPr>
        <w:t>有下列情形之一的，国有土地使用权交易行为应中止</w:t>
      </w: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（一）网上交易系统受到网络恶意入侵的；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（二）因网上交易系统遭受破坏或发生电力、网络故障等不可抗力的非交易中心因素，导致网上交易系统不能正常运行的；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（三）因不可抗力应当中止国有土地使用权交易的其他情形。</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国有土地使用权交易行为中止的原因消除后，应当及时恢复国有土地使用权交易。</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十七、</w:t>
      </w:r>
      <w:r>
        <w:rPr>
          <w:rFonts w:hint="default" w:ascii="Times New Roman" w:hAnsi="Times New Roman" w:eastAsia="仿宋" w:cs="Times New Roman"/>
          <w:color w:val="000000" w:themeColor="text1"/>
          <w:sz w:val="32"/>
          <w:szCs w:val="32"/>
          <w:highlight w:val="none"/>
          <w14:textFill>
            <w14:solidFill>
              <w14:schemeClr w14:val="tx1"/>
            </w14:solidFill>
          </w14:textFill>
        </w:rPr>
        <w:t>出现以下情形之一的即视为竞得人违约，出让人有权解除《成交确认书》，并取消竞得人的资格。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（一）竞得人提供的资质条件证明文件虚假的；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（二）竞得人隐瞒事实，恶意串通或采取其他非法手段竞得的；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（三）竞得人拒绝签订《成交确认书》；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（四）公示期间有举报且经调查核实属违法违规行为的。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十八、</w:t>
      </w:r>
      <w:r>
        <w:rPr>
          <w:rFonts w:hint="default" w:ascii="Times New Roman" w:hAnsi="Times New Roman" w:eastAsia="仿宋" w:cs="Times New Roman"/>
          <w:color w:val="000000" w:themeColor="text1"/>
          <w:sz w:val="32"/>
          <w:szCs w:val="32"/>
          <w:highlight w:val="none"/>
          <w14:textFill>
            <w14:solidFill>
              <w14:schemeClr w14:val="tx1"/>
            </w14:solidFill>
          </w14:textFill>
        </w:rPr>
        <w:t>出让人对本《国有土地使用权挂牌出让须知》有最终解释权。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right"/>
        <w:rPr>
          <w:rFonts w:hint="default" w:ascii="Times New Roman" w:hAnsi="Times New Roman" w:eastAsia="仿宋" w:cs="Times New Roman"/>
          <w:color w:val="000000" w:themeColor="text1"/>
          <w:sz w:val="32"/>
          <w:szCs w:val="32"/>
          <w:highlight w:val="none"/>
          <w14:textFill>
            <w14:solidFill>
              <w14:schemeClr w14:val="tx1"/>
            </w14:solidFill>
          </w14:textFill>
        </w:rPr>
      </w:pPr>
      <w:r>
        <w:rPr>
          <w:rStyle w:val="18"/>
          <w:rFonts w:hint="default" w:ascii="Times New Roman" w:hAnsi="Times New Roman" w:eastAsia="仿宋" w:cs="Times New Roman"/>
          <w:b w:val="0"/>
          <w:color w:val="000000" w:themeColor="text1"/>
          <w:sz w:val="32"/>
          <w:szCs w:val="32"/>
          <w:highlight w:val="none"/>
          <w14:textFill>
            <w14:solidFill>
              <w14:schemeClr w14:val="tx1"/>
            </w14:solidFill>
          </w14:textFill>
        </w:rPr>
        <w:t>乌海市公共资源交易中心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righ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bCs/>
          <w:color w:val="auto"/>
          <w:sz w:val="32"/>
          <w:szCs w:val="32"/>
          <w:highlight w:val="none"/>
          <w:lang w:val="en-US" w:eastAsia="zh-CN"/>
        </w:rPr>
        <w:t>27</w:t>
      </w:r>
      <w:r>
        <w:rPr>
          <w:rFonts w:hint="default" w:ascii="Times New Roman" w:hAnsi="Times New Roman" w:eastAsia="仿宋" w:cs="Times New Roman"/>
          <w:color w:val="auto"/>
          <w:sz w:val="32"/>
          <w:szCs w:val="32"/>
          <w:highlight w:val="none"/>
        </w:rPr>
        <w:t>日</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ascii="仿宋" w:hAnsi="仿宋" w:eastAsia="仿宋"/>
          <w:color w:val="000000" w:themeColor="text1"/>
          <w:sz w:val="32"/>
          <w:szCs w:val="32"/>
          <w:highlight w:val="none"/>
          <w14:textFill>
            <w14:solidFill>
              <w14:schemeClr w14:val="tx1"/>
            </w14:solidFill>
          </w14:textFill>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1271FE"/>
    <w:rsid w:val="02423583"/>
    <w:rsid w:val="024600CB"/>
    <w:rsid w:val="028B18FB"/>
    <w:rsid w:val="0292235D"/>
    <w:rsid w:val="029A7C8F"/>
    <w:rsid w:val="02DE5ECF"/>
    <w:rsid w:val="02E903CF"/>
    <w:rsid w:val="03012EB6"/>
    <w:rsid w:val="030C2C1F"/>
    <w:rsid w:val="03E05C76"/>
    <w:rsid w:val="04013FE0"/>
    <w:rsid w:val="040F0053"/>
    <w:rsid w:val="041059C0"/>
    <w:rsid w:val="04115814"/>
    <w:rsid w:val="044E1C2B"/>
    <w:rsid w:val="04640655"/>
    <w:rsid w:val="048A0CB8"/>
    <w:rsid w:val="05551D6C"/>
    <w:rsid w:val="05931291"/>
    <w:rsid w:val="06657FD2"/>
    <w:rsid w:val="06734B80"/>
    <w:rsid w:val="06777248"/>
    <w:rsid w:val="06B63265"/>
    <w:rsid w:val="06CD540B"/>
    <w:rsid w:val="07115CFE"/>
    <w:rsid w:val="07141709"/>
    <w:rsid w:val="07492231"/>
    <w:rsid w:val="074C630C"/>
    <w:rsid w:val="07607F50"/>
    <w:rsid w:val="07911761"/>
    <w:rsid w:val="07D811A0"/>
    <w:rsid w:val="08E91C8E"/>
    <w:rsid w:val="091C14FF"/>
    <w:rsid w:val="09554F7F"/>
    <w:rsid w:val="09920FEC"/>
    <w:rsid w:val="09AC5238"/>
    <w:rsid w:val="09B91E73"/>
    <w:rsid w:val="09CB177D"/>
    <w:rsid w:val="0AE56F11"/>
    <w:rsid w:val="0B453DBF"/>
    <w:rsid w:val="0B6C7DF0"/>
    <w:rsid w:val="0C3A6B50"/>
    <w:rsid w:val="0CBC55DD"/>
    <w:rsid w:val="0D621DA0"/>
    <w:rsid w:val="0DE657C7"/>
    <w:rsid w:val="0E175E4F"/>
    <w:rsid w:val="0E1A4918"/>
    <w:rsid w:val="0E430E78"/>
    <w:rsid w:val="0E74336A"/>
    <w:rsid w:val="0F3D3A4A"/>
    <w:rsid w:val="0F61151D"/>
    <w:rsid w:val="0F915630"/>
    <w:rsid w:val="0FBC682D"/>
    <w:rsid w:val="0FDA5E7C"/>
    <w:rsid w:val="0FE62886"/>
    <w:rsid w:val="100B4889"/>
    <w:rsid w:val="106422A2"/>
    <w:rsid w:val="11020FDA"/>
    <w:rsid w:val="121E6E1F"/>
    <w:rsid w:val="12406F45"/>
    <w:rsid w:val="124A5E7C"/>
    <w:rsid w:val="124F64A1"/>
    <w:rsid w:val="12FD669C"/>
    <w:rsid w:val="13153D01"/>
    <w:rsid w:val="13620456"/>
    <w:rsid w:val="141C6857"/>
    <w:rsid w:val="145664B1"/>
    <w:rsid w:val="14956609"/>
    <w:rsid w:val="14B1541F"/>
    <w:rsid w:val="14CB202B"/>
    <w:rsid w:val="15681628"/>
    <w:rsid w:val="16133C89"/>
    <w:rsid w:val="1615355E"/>
    <w:rsid w:val="16673E9F"/>
    <w:rsid w:val="16B913B5"/>
    <w:rsid w:val="175E4A65"/>
    <w:rsid w:val="18000D5A"/>
    <w:rsid w:val="182A0D45"/>
    <w:rsid w:val="18CB2A86"/>
    <w:rsid w:val="18CF5571"/>
    <w:rsid w:val="18EC3795"/>
    <w:rsid w:val="191250E6"/>
    <w:rsid w:val="1945669A"/>
    <w:rsid w:val="196D7CBC"/>
    <w:rsid w:val="1A0C2EC9"/>
    <w:rsid w:val="1A676352"/>
    <w:rsid w:val="1A713C1F"/>
    <w:rsid w:val="1AC506ED"/>
    <w:rsid w:val="1B3A0A95"/>
    <w:rsid w:val="1B3A2F9D"/>
    <w:rsid w:val="1B3A3A66"/>
    <w:rsid w:val="1B697196"/>
    <w:rsid w:val="1B903686"/>
    <w:rsid w:val="1BAF0938"/>
    <w:rsid w:val="1C067028"/>
    <w:rsid w:val="1C3D1E77"/>
    <w:rsid w:val="1C661E6D"/>
    <w:rsid w:val="1CA93820"/>
    <w:rsid w:val="1D3B0967"/>
    <w:rsid w:val="1D855FD0"/>
    <w:rsid w:val="1D935945"/>
    <w:rsid w:val="1DBD4B98"/>
    <w:rsid w:val="1DCF493A"/>
    <w:rsid w:val="1DEB1048"/>
    <w:rsid w:val="1DF22B3C"/>
    <w:rsid w:val="1E420CBE"/>
    <w:rsid w:val="1EF06916"/>
    <w:rsid w:val="1F625C18"/>
    <w:rsid w:val="1F767E64"/>
    <w:rsid w:val="1F7F7E6A"/>
    <w:rsid w:val="1FB71B33"/>
    <w:rsid w:val="1FF82CAC"/>
    <w:rsid w:val="202647F7"/>
    <w:rsid w:val="20332ACA"/>
    <w:rsid w:val="206A5224"/>
    <w:rsid w:val="20CC581C"/>
    <w:rsid w:val="20CF1F6B"/>
    <w:rsid w:val="20F31418"/>
    <w:rsid w:val="210C37AF"/>
    <w:rsid w:val="212E273D"/>
    <w:rsid w:val="21527B83"/>
    <w:rsid w:val="215A09BE"/>
    <w:rsid w:val="21A36E0F"/>
    <w:rsid w:val="21D32688"/>
    <w:rsid w:val="21FF2074"/>
    <w:rsid w:val="220973D9"/>
    <w:rsid w:val="22307EFA"/>
    <w:rsid w:val="227B707F"/>
    <w:rsid w:val="22CB5E23"/>
    <w:rsid w:val="22E42C35"/>
    <w:rsid w:val="23473DE4"/>
    <w:rsid w:val="235777E5"/>
    <w:rsid w:val="235F294A"/>
    <w:rsid w:val="23653452"/>
    <w:rsid w:val="23D55D20"/>
    <w:rsid w:val="23FB76B9"/>
    <w:rsid w:val="23FE3883"/>
    <w:rsid w:val="243634F3"/>
    <w:rsid w:val="246F478D"/>
    <w:rsid w:val="24AD1BC4"/>
    <w:rsid w:val="250A344E"/>
    <w:rsid w:val="25590B49"/>
    <w:rsid w:val="258E50DA"/>
    <w:rsid w:val="259C1DC8"/>
    <w:rsid w:val="25DE3CBB"/>
    <w:rsid w:val="25E511E1"/>
    <w:rsid w:val="26676473"/>
    <w:rsid w:val="266E4003"/>
    <w:rsid w:val="267A11BB"/>
    <w:rsid w:val="268812DB"/>
    <w:rsid w:val="269654E3"/>
    <w:rsid w:val="270B7AC8"/>
    <w:rsid w:val="270B7E24"/>
    <w:rsid w:val="27703550"/>
    <w:rsid w:val="28074CD0"/>
    <w:rsid w:val="28A73B95"/>
    <w:rsid w:val="28E371ED"/>
    <w:rsid w:val="290F05C4"/>
    <w:rsid w:val="294D73CE"/>
    <w:rsid w:val="29732316"/>
    <w:rsid w:val="2984009C"/>
    <w:rsid w:val="29862108"/>
    <w:rsid w:val="298F6472"/>
    <w:rsid w:val="29CC7AAB"/>
    <w:rsid w:val="29FC015B"/>
    <w:rsid w:val="2A7517C0"/>
    <w:rsid w:val="2A795E57"/>
    <w:rsid w:val="2AE80AD7"/>
    <w:rsid w:val="2AF272BD"/>
    <w:rsid w:val="2C2B5F66"/>
    <w:rsid w:val="2C6C2039"/>
    <w:rsid w:val="2C93023E"/>
    <w:rsid w:val="2CB165B6"/>
    <w:rsid w:val="2D0A159E"/>
    <w:rsid w:val="2D7D772A"/>
    <w:rsid w:val="2DAA7F1C"/>
    <w:rsid w:val="2DE15604"/>
    <w:rsid w:val="2DF71C47"/>
    <w:rsid w:val="2E043D71"/>
    <w:rsid w:val="2E1A2CBD"/>
    <w:rsid w:val="2E8E6166"/>
    <w:rsid w:val="2EA9088F"/>
    <w:rsid w:val="2F422332"/>
    <w:rsid w:val="2F566C69"/>
    <w:rsid w:val="2F5D3CC9"/>
    <w:rsid w:val="2F9B467C"/>
    <w:rsid w:val="30352C82"/>
    <w:rsid w:val="304E5B92"/>
    <w:rsid w:val="305247DB"/>
    <w:rsid w:val="30684B60"/>
    <w:rsid w:val="308415B4"/>
    <w:rsid w:val="309C34AC"/>
    <w:rsid w:val="309F60E3"/>
    <w:rsid w:val="30B04521"/>
    <w:rsid w:val="31485B61"/>
    <w:rsid w:val="315076E8"/>
    <w:rsid w:val="315D2EA1"/>
    <w:rsid w:val="318B3424"/>
    <w:rsid w:val="31A81E37"/>
    <w:rsid w:val="31D2190C"/>
    <w:rsid w:val="325244A3"/>
    <w:rsid w:val="32655415"/>
    <w:rsid w:val="32B70DC5"/>
    <w:rsid w:val="32C32288"/>
    <w:rsid w:val="32D70A47"/>
    <w:rsid w:val="33016F86"/>
    <w:rsid w:val="331820F6"/>
    <w:rsid w:val="33653D7A"/>
    <w:rsid w:val="33725B8E"/>
    <w:rsid w:val="339B37E8"/>
    <w:rsid w:val="33A27236"/>
    <w:rsid w:val="33B31F37"/>
    <w:rsid w:val="33C06508"/>
    <w:rsid w:val="340A662D"/>
    <w:rsid w:val="34360E17"/>
    <w:rsid w:val="34903798"/>
    <w:rsid w:val="34C2697F"/>
    <w:rsid w:val="351E740A"/>
    <w:rsid w:val="35207CA0"/>
    <w:rsid w:val="35296DE4"/>
    <w:rsid w:val="355C181D"/>
    <w:rsid w:val="356F70AA"/>
    <w:rsid w:val="35A053D3"/>
    <w:rsid w:val="35AC25ED"/>
    <w:rsid w:val="35D11B70"/>
    <w:rsid w:val="362E3CD5"/>
    <w:rsid w:val="36354047"/>
    <w:rsid w:val="36F11B9A"/>
    <w:rsid w:val="3723478C"/>
    <w:rsid w:val="37FF3CDB"/>
    <w:rsid w:val="38B4392F"/>
    <w:rsid w:val="38D07641"/>
    <w:rsid w:val="38DC04BF"/>
    <w:rsid w:val="39580A05"/>
    <w:rsid w:val="397F0B6A"/>
    <w:rsid w:val="39BA0B35"/>
    <w:rsid w:val="39D013C6"/>
    <w:rsid w:val="39DA5134"/>
    <w:rsid w:val="3A2F7D52"/>
    <w:rsid w:val="3A7868EF"/>
    <w:rsid w:val="3A846FCB"/>
    <w:rsid w:val="3A8B3E85"/>
    <w:rsid w:val="3B092B44"/>
    <w:rsid w:val="3B405113"/>
    <w:rsid w:val="3CB55BF6"/>
    <w:rsid w:val="3D387D66"/>
    <w:rsid w:val="3D393E15"/>
    <w:rsid w:val="3E1034A1"/>
    <w:rsid w:val="3E1B36E3"/>
    <w:rsid w:val="3E447CFD"/>
    <w:rsid w:val="3EE735A7"/>
    <w:rsid w:val="3FB461A6"/>
    <w:rsid w:val="403703F1"/>
    <w:rsid w:val="40DC6D8D"/>
    <w:rsid w:val="40E52187"/>
    <w:rsid w:val="41087697"/>
    <w:rsid w:val="412A20B8"/>
    <w:rsid w:val="413A1EEE"/>
    <w:rsid w:val="4145758F"/>
    <w:rsid w:val="415B6EF8"/>
    <w:rsid w:val="418E6E19"/>
    <w:rsid w:val="42004812"/>
    <w:rsid w:val="420B0476"/>
    <w:rsid w:val="42894808"/>
    <w:rsid w:val="42D86298"/>
    <w:rsid w:val="42EE0B0F"/>
    <w:rsid w:val="436C4C92"/>
    <w:rsid w:val="43874EB8"/>
    <w:rsid w:val="439F739E"/>
    <w:rsid w:val="43C53EED"/>
    <w:rsid w:val="43DB1093"/>
    <w:rsid w:val="44086D9A"/>
    <w:rsid w:val="440B71BB"/>
    <w:rsid w:val="44360DC1"/>
    <w:rsid w:val="4441584C"/>
    <w:rsid w:val="444C65CD"/>
    <w:rsid w:val="444F4F3A"/>
    <w:rsid w:val="446E1C6F"/>
    <w:rsid w:val="44EF6B85"/>
    <w:rsid w:val="4525470A"/>
    <w:rsid w:val="4528322F"/>
    <w:rsid w:val="45780F51"/>
    <w:rsid w:val="45C323F1"/>
    <w:rsid w:val="46301D91"/>
    <w:rsid w:val="466330FF"/>
    <w:rsid w:val="467363F8"/>
    <w:rsid w:val="46DE5907"/>
    <w:rsid w:val="47310BC3"/>
    <w:rsid w:val="473968FE"/>
    <w:rsid w:val="474732F8"/>
    <w:rsid w:val="479466CB"/>
    <w:rsid w:val="47DA120A"/>
    <w:rsid w:val="48196943"/>
    <w:rsid w:val="485F7C46"/>
    <w:rsid w:val="498E0956"/>
    <w:rsid w:val="49FC6E82"/>
    <w:rsid w:val="4AC128C1"/>
    <w:rsid w:val="4AC436A6"/>
    <w:rsid w:val="4B3308B5"/>
    <w:rsid w:val="4B337875"/>
    <w:rsid w:val="4B5E0F69"/>
    <w:rsid w:val="4B727C4A"/>
    <w:rsid w:val="4C592403"/>
    <w:rsid w:val="4C863DA4"/>
    <w:rsid w:val="4CC56D43"/>
    <w:rsid w:val="4CF431C6"/>
    <w:rsid w:val="4D101657"/>
    <w:rsid w:val="4D166C24"/>
    <w:rsid w:val="4D2A484F"/>
    <w:rsid w:val="4D3F3542"/>
    <w:rsid w:val="4D6B3488"/>
    <w:rsid w:val="4D891B60"/>
    <w:rsid w:val="4DB43081"/>
    <w:rsid w:val="4E120E4F"/>
    <w:rsid w:val="4EE15319"/>
    <w:rsid w:val="4F755F96"/>
    <w:rsid w:val="4FCE7CFE"/>
    <w:rsid w:val="500858B2"/>
    <w:rsid w:val="50384320"/>
    <w:rsid w:val="503849E2"/>
    <w:rsid w:val="50DB56F2"/>
    <w:rsid w:val="51791EEB"/>
    <w:rsid w:val="526B7E3F"/>
    <w:rsid w:val="52941907"/>
    <w:rsid w:val="52A925E8"/>
    <w:rsid w:val="52EB531A"/>
    <w:rsid w:val="534E30A1"/>
    <w:rsid w:val="53826985"/>
    <w:rsid w:val="53866166"/>
    <w:rsid w:val="53BA7EFE"/>
    <w:rsid w:val="53E27405"/>
    <w:rsid w:val="54090B2A"/>
    <w:rsid w:val="54B20F72"/>
    <w:rsid w:val="54B82E4B"/>
    <w:rsid w:val="54FD6961"/>
    <w:rsid w:val="550A1849"/>
    <w:rsid w:val="551B6DA4"/>
    <w:rsid w:val="55340EE1"/>
    <w:rsid w:val="5569448A"/>
    <w:rsid w:val="55BD5204"/>
    <w:rsid w:val="55F0491D"/>
    <w:rsid w:val="56006F4E"/>
    <w:rsid w:val="560E354A"/>
    <w:rsid w:val="57684EDC"/>
    <w:rsid w:val="577B5D8A"/>
    <w:rsid w:val="57893085"/>
    <w:rsid w:val="57DF039F"/>
    <w:rsid w:val="588C4FE0"/>
    <w:rsid w:val="59126315"/>
    <w:rsid w:val="597A34A2"/>
    <w:rsid w:val="59D76D95"/>
    <w:rsid w:val="59F20F41"/>
    <w:rsid w:val="5B302D4D"/>
    <w:rsid w:val="5B610EEF"/>
    <w:rsid w:val="5B7E082A"/>
    <w:rsid w:val="5C2B6D59"/>
    <w:rsid w:val="5C8B41AB"/>
    <w:rsid w:val="5D245C48"/>
    <w:rsid w:val="5D423AD9"/>
    <w:rsid w:val="5D646D9A"/>
    <w:rsid w:val="5D707935"/>
    <w:rsid w:val="5DB6074F"/>
    <w:rsid w:val="5DD22CB5"/>
    <w:rsid w:val="5E2268BA"/>
    <w:rsid w:val="5EA82788"/>
    <w:rsid w:val="5EDA38A3"/>
    <w:rsid w:val="5F0A4C2A"/>
    <w:rsid w:val="5F23318E"/>
    <w:rsid w:val="5F264AF1"/>
    <w:rsid w:val="5FDF615F"/>
    <w:rsid w:val="60555D48"/>
    <w:rsid w:val="608F40A8"/>
    <w:rsid w:val="609355AC"/>
    <w:rsid w:val="60957D19"/>
    <w:rsid w:val="609B040A"/>
    <w:rsid w:val="60B06F3A"/>
    <w:rsid w:val="61654438"/>
    <w:rsid w:val="616C0ECA"/>
    <w:rsid w:val="61C86D4A"/>
    <w:rsid w:val="62807BBC"/>
    <w:rsid w:val="62BB5EA5"/>
    <w:rsid w:val="62C06785"/>
    <w:rsid w:val="62C751AC"/>
    <w:rsid w:val="63161CB4"/>
    <w:rsid w:val="63193E36"/>
    <w:rsid w:val="63844E4C"/>
    <w:rsid w:val="638A48B7"/>
    <w:rsid w:val="640C7DE4"/>
    <w:rsid w:val="64852C29"/>
    <w:rsid w:val="64AE59F6"/>
    <w:rsid w:val="65B56C0B"/>
    <w:rsid w:val="65C824A2"/>
    <w:rsid w:val="65C97631"/>
    <w:rsid w:val="65F21AB3"/>
    <w:rsid w:val="66251B68"/>
    <w:rsid w:val="66664CDC"/>
    <w:rsid w:val="67127912"/>
    <w:rsid w:val="6732221A"/>
    <w:rsid w:val="674D1342"/>
    <w:rsid w:val="67BE5741"/>
    <w:rsid w:val="681B4A8F"/>
    <w:rsid w:val="6849021F"/>
    <w:rsid w:val="687A3C05"/>
    <w:rsid w:val="68940414"/>
    <w:rsid w:val="69553B4D"/>
    <w:rsid w:val="69724AD7"/>
    <w:rsid w:val="698F2F8F"/>
    <w:rsid w:val="699A7177"/>
    <w:rsid w:val="699F771D"/>
    <w:rsid w:val="69EF13EF"/>
    <w:rsid w:val="6B030D4C"/>
    <w:rsid w:val="6B807383"/>
    <w:rsid w:val="6B976565"/>
    <w:rsid w:val="6BBD6062"/>
    <w:rsid w:val="6BE74E19"/>
    <w:rsid w:val="6C001E4A"/>
    <w:rsid w:val="6C0E785F"/>
    <w:rsid w:val="6CD37D36"/>
    <w:rsid w:val="6CDA13EF"/>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8A436C"/>
    <w:rsid w:val="74B66E2F"/>
    <w:rsid w:val="74CE6A7E"/>
    <w:rsid w:val="74EE6617"/>
    <w:rsid w:val="753A180E"/>
    <w:rsid w:val="756276E8"/>
    <w:rsid w:val="75734D20"/>
    <w:rsid w:val="75864A53"/>
    <w:rsid w:val="75B77661"/>
    <w:rsid w:val="760834D9"/>
    <w:rsid w:val="767338C9"/>
    <w:rsid w:val="76AF359F"/>
    <w:rsid w:val="76BF43FB"/>
    <w:rsid w:val="788460D8"/>
    <w:rsid w:val="78B31426"/>
    <w:rsid w:val="78B6564F"/>
    <w:rsid w:val="78EA354B"/>
    <w:rsid w:val="795B4B05"/>
    <w:rsid w:val="796D2967"/>
    <w:rsid w:val="79CD5CEC"/>
    <w:rsid w:val="7A592736"/>
    <w:rsid w:val="7AA240DD"/>
    <w:rsid w:val="7AA37E55"/>
    <w:rsid w:val="7B3B7919"/>
    <w:rsid w:val="7B683833"/>
    <w:rsid w:val="7B6E621C"/>
    <w:rsid w:val="7B6F7CF7"/>
    <w:rsid w:val="7C4B2B74"/>
    <w:rsid w:val="7C804BFA"/>
    <w:rsid w:val="7C831CEC"/>
    <w:rsid w:val="7C89326C"/>
    <w:rsid w:val="7CC516EE"/>
    <w:rsid w:val="7CFF2A1E"/>
    <w:rsid w:val="7D013D1F"/>
    <w:rsid w:val="7D0746CC"/>
    <w:rsid w:val="7D26648E"/>
    <w:rsid w:val="7D493C9C"/>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4">
    <w:name w:val="heading 1"/>
    <w:basedOn w:val="1"/>
    <w:next w:val="5"/>
    <w:link w:val="21"/>
    <w:qFormat/>
    <w:uiPriority w:val="99"/>
    <w:pPr>
      <w:spacing w:before="159" w:after="153" w:line="554" w:lineRule="atLeast"/>
      <w:ind w:firstLine="0"/>
      <w:jc w:val="center"/>
      <w:outlineLvl w:val="0"/>
    </w:pPr>
    <w:rPr>
      <w:rFonts w:ascii="Arial" w:hAnsi="Arial" w:eastAsia="黑体" w:cs="Arial"/>
      <w:sz w:val="32"/>
      <w:szCs w:val="32"/>
    </w:rPr>
  </w:style>
  <w:style w:type="paragraph" w:styleId="5">
    <w:name w:val="heading 2"/>
    <w:basedOn w:val="1"/>
    <w:next w:val="6"/>
    <w:link w:val="22"/>
    <w:qFormat/>
    <w:uiPriority w:val="99"/>
    <w:pPr>
      <w:spacing w:line="519" w:lineRule="atLeast"/>
      <w:ind w:firstLine="0"/>
      <w:jc w:val="center"/>
      <w:outlineLvl w:val="1"/>
    </w:pPr>
    <w:rPr>
      <w:sz w:val="28"/>
      <w:szCs w:val="28"/>
    </w:rPr>
  </w:style>
  <w:style w:type="paragraph" w:styleId="6">
    <w:name w:val="heading 3"/>
    <w:basedOn w:val="1"/>
    <w:next w:val="1"/>
    <w:link w:val="23"/>
    <w:qFormat/>
    <w:uiPriority w:val="99"/>
    <w:pPr>
      <w:spacing w:before="176" w:after="102"/>
      <w:ind w:firstLine="0"/>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next w:val="3"/>
    <w:qFormat/>
    <w:locked/>
    <w:uiPriority w:val="0"/>
    <w:pPr>
      <w:widowControl w:val="0"/>
      <w:spacing w:after="120"/>
      <w:ind w:firstLine="420" w:firstLineChars="100"/>
      <w:jc w:val="both"/>
    </w:pPr>
    <w:rPr>
      <w:rFonts w:ascii="Calibri" w:hAnsi="Calibri" w:eastAsia="宋体" w:cs="黑体"/>
      <w:kern w:val="2"/>
      <w:sz w:val="21"/>
      <w:szCs w:val="24"/>
      <w:lang w:val="en-US" w:eastAsia="zh-CN" w:bidi="ar-SA"/>
    </w:rPr>
  </w:style>
  <w:style w:type="paragraph" w:styleId="3">
    <w:name w:val="header"/>
    <w:basedOn w:val="1"/>
    <w:link w:val="2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3"/>
    <w:basedOn w:val="1"/>
    <w:next w:val="1"/>
    <w:semiHidden/>
    <w:qFormat/>
    <w:uiPriority w:val="99"/>
    <w:pPr>
      <w:spacing w:line="548" w:lineRule="atLeast"/>
    </w:pPr>
  </w:style>
  <w:style w:type="paragraph" w:styleId="8">
    <w:name w:val="Date"/>
    <w:basedOn w:val="1"/>
    <w:next w:val="1"/>
    <w:link w:val="24"/>
    <w:qFormat/>
    <w:uiPriority w:val="99"/>
    <w:pPr>
      <w:ind w:left="100" w:leftChars="2500"/>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semiHidden/>
    <w:qFormat/>
    <w:uiPriority w:val="99"/>
    <w:pPr>
      <w:spacing w:line="548" w:lineRule="atLeast"/>
      <w:ind w:firstLine="630"/>
    </w:pPr>
  </w:style>
  <w:style w:type="paragraph" w:styleId="12">
    <w:name w:val="toc 2"/>
    <w:basedOn w:val="1"/>
    <w:next w:val="1"/>
    <w:semiHidden/>
    <w:qFormat/>
    <w:uiPriority w:val="99"/>
    <w:pPr>
      <w:spacing w:line="548" w:lineRule="atLeast"/>
      <w:ind w:firstLine="210"/>
    </w:pPr>
  </w:style>
  <w:style w:type="paragraph" w:styleId="13">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4"/>
    <w:qFormat/>
    <w:uiPriority w:val="99"/>
    <w:pPr>
      <w:spacing w:before="104" w:after="104" w:line="240" w:lineRule="atLeast"/>
      <w:ind w:firstLine="0"/>
      <w:jc w:val="center"/>
    </w:pPr>
    <w:rPr>
      <w:sz w:val="36"/>
      <w:szCs w:val="36"/>
    </w:rPr>
  </w:style>
  <w:style w:type="character" w:styleId="18">
    <w:name w:val="Strong"/>
    <w:basedOn w:val="17"/>
    <w:qFormat/>
    <w:uiPriority w:val="22"/>
    <w:rPr>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标题 1 Char"/>
    <w:basedOn w:val="17"/>
    <w:link w:val="4"/>
    <w:qFormat/>
    <w:locked/>
    <w:uiPriority w:val="99"/>
    <w:rPr>
      <w:rFonts w:cs="Times New Roman"/>
      <w:b/>
      <w:bCs/>
      <w:color w:val="000000"/>
      <w:kern w:val="44"/>
      <w:sz w:val="44"/>
      <w:szCs w:val="44"/>
    </w:rPr>
  </w:style>
  <w:style w:type="character" w:customStyle="1" w:styleId="22">
    <w:name w:val="标题 2 Char"/>
    <w:basedOn w:val="17"/>
    <w:link w:val="5"/>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6"/>
    <w:semiHidden/>
    <w:qFormat/>
    <w:locked/>
    <w:uiPriority w:val="99"/>
    <w:rPr>
      <w:rFonts w:cs="Times New Roman"/>
      <w:b/>
      <w:bCs/>
      <w:color w:val="000000"/>
      <w:kern w:val="0"/>
      <w:sz w:val="32"/>
      <w:szCs w:val="32"/>
    </w:rPr>
  </w:style>
  <w:style w:type="character" w:customStyle="1" w:styleId="24">
    <w:name w:val="日期 Char"/>
    <w:basedOn w:val="17"/>
    <w:link w:val="8"/>
    <w:semiHidden/>
    <w:qFormat/>
    <w:locked/>
    <w:uiPriority w:val="99"/>
    <w:rPr>
      <w:rFonts w:cs="Times New Roman"/>
      <w:color w:val="000000"/>
      <w:kern w:val="0"/>
      <w:sz w:val="20"/>
      <w:szCs w:val="20"/>
    </w:rPr>
  </w:style>
  <w:style w:type="character" w:customStyle="1" w:styleId="25">
    <w:name w:val="页脚 Char"/>
    <w:basedOn w:val="17"/>
    <w:link w:val="9"/>
    <w:semiHidden/>
    <w:qFormat/>
    <w:locked/>
    <w:uiPriority w:val="99"/>
    <w:rPr>
      <w:rFonts w:cs="Times New Roman"/>
      <w:color w:val="000000"/>
      <w:kern w:val="0"/>
      <w:sz w:val="18"/>
      <w:szCs w:val="18"/>
    </w:rPr>
  </w:style>
  <w:style w:type="character" w:customStyle="1" w:styleId="26">
    <w:name w:val="页眉 Char"/>
    <w:basedOn w:val="17"/>
    <w:link w:val="3"/>
    <w:semiHidden/>
    <w:qFormat/>
    <w:locked/>
    <w:uiPriority w:val="99"/>
    <w:rPr>
      <w:rFonts w:cs="Times New Roman"/>
      <w:color w:val="000000"/>
      <w:kern w:val="0"/>
      <w:sz w:val="18"/>
      <w:szCs w:val="18"/>
    </w:rPr>
  </w:style>
  <w:style w:type="character" w:customStyle="1" w:styleId="27">
    <w:name w:val="标题 Char"/>
    <w:basedOn w:val="17"/>
    <w:link w:val="14"/>
    <w:qFormat/>
    <w:locked/>
    <w:uiPriority w:val="99"/>
    <w:rPr>
      <w:rFonts w:ascii="Cambria" w:hAnsi="Cambria" w:cs="Cambria"/>
      <w:b/>
      <w:bCs/>
      <w:color w:val="000000"/>
      <w:kern w:val="0"/>
      <w:sz w:val="32"/>
      <w:szCs w:val="32"/>
    </w:rPr>
  </w:style>
  <w:style w:type="character" w:customStyle="1" w:styleId="28">
    <w:name w:val="默认段落字体 Char"/>
    <w:qFormat/>
    <w:uiPriority w:val="99"/>
    <w:rPr>
      <w:rFonts w:ascii="Times New Roman" w:hAnsi="Times New Roman" w:eastAsia="宋体"/>
      <w:color w:val="000000"/>
      <w:spacing w:val="0"/>
      <w:w w:val="100"/>
      <w:sz w:val="21"/>
      <w:vertAlign w:val="baseline"/>
    </w:rPr>
  </w:style>
  <w:style w:type="character" w:customStyle="1" w:styleId="29">
    <w:name w:val="链接"/>
    <w:basedOn w:val="17"/>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qFormat/>
    <w:uiPriority w:val="99"/>
    <w:rPr>
      <w:rFonts w:cs="Times New Roman"/>
      <w:color w:val="0000FF"/>
      <w:szCs w:val="21"/>
      <w:u w:val="single" w:color="0000FF"/>
    </w:rPr>
  </w:style>
  <w:style w:type="paragraph" w:customStyle="1" w:styleId="31">
    <w:name w:val="WPS Plain"/>
    <w:qFormat/>
    <w:uiPriority w:val="99"/>
    <w:rPr>
      <w:rFonts w:ascii="Times New Roman" w:hAnsi="Times New Roman" w:eastAsia="宋体" w:cs="Times New Roman"/>
      <w:lang w:val="en-US" w:eastAsia="zh-CN" w:bidi="ar-SA"/>
    </w:rPr>
  </w:style>
  <w:style w:type="paragraph" w:customStyle="1" w:styleId="32">
    <w:name w:val="普通表格1"/>
    <w:qFormat/>
    <w:uiPriority w:val="99"/>
    <w:rPr>
      <w:rFonts w:ascii="Times New Roman" w:hAnsi="Times New Roman" w:eastAsia="宋体" w:cs="Times New Roman"/>
      <w:lang w:val="en-US" w:eastAsia="zh-CN" w:bidi="ar-SA"/>
    </w:rPr>
  </w:style>
  <w:style w:type="paragraph" w:customStyle="1" w:styleId="33">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qFormat/>
    <w:uiPriority w:val="99"/>
    <w:rPr>
      <w:rFonts w:ascii="Times New Roman" w:hAnsi="Times New Roman" w:eastAsia="宋体" w:cs="Times New Roman"/>
      <w:lang w:val="en-US" w:eastAsia="zh-CN" w:bidi="ar-SA"/>
    </w:rPr>
  </w:style>
  <w:style w:type="paragraph" w:customStyle="1" w:styleId="35">
    <w:name w:val="0"/>
    <w:basedOn w:val="1"/>
    <w:qFormat/>
    <w:uiPriority w:val="99"/>
    <w:pPr>
      <w:widowControl/>
      <w:snapToGrid w:val="0"/>
      <w:spacing w:line="240" w:lineRule="auto"/>
      <w:ind w:left="0" w:firstLine="0"/>
      <w:textAlignment w:val="auto"/>
    </w:pPr>
    <w:rPr>
      <w:color w:val="auto"/>
    </w:rPr>
  </w:style>
  <w:style w:type="paragraph" w:customStyle="1" w:styleId="36">
    <w:name w:val="文章附标题"/>
    <w:basedOn w:val="1"/>
    <w:qFormat/>
    <w:uiPriority w:val="99"/>
    <w:pPr>
      <w:spacing w:before="187" w:after="176" w:line="607" w:lineRule="atLeast"/>
      <w:ind w:firstLine="0"/>
      <w:jc w:val="center"/>
    </w:pPr>
    <w:rPr>
      <w:sz w:val="36"/>
      <w:szCs w:val="36"/>
    </w:rPr>
  </w:style>
  <w:style w:type="paragraph" w:styleId="37">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5107</Words>
  <Characters>5643</Characters>
  <Lines>41</Lines>
  <Paragraphs>11</Paragraphs>
  <TotalTime>4</TotalTime>
  <ScaleCrop>false</ScaleCrop>
  <LinksUpToDate>false</LinksUpToDate>
  <CharactersWithSpaces>5683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2023-03-24T02:59:00Z</cp:lastPrinted>
  <dcterms:modified xsi:type="dcterms:W3CDTF">2023-07-26T08:46:04Z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D8E27B1CC361492D906C6093E2A283E8_13</vt:lpwstr>
  </property>
</Properties>
</file>