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color w:val="000000" w:themeColor="text1"/>
          <w:sz w:val="44"/>
          <w:szCs w:val="44"/>
          <w14:textFill>
            <w14:solidFill>
              <w14:schemeClr w14:val="tx1"/>
            </w14:solidFill>
          </w14:textFill>
        </w:rPr>
      </w:pPr>
    </w:p>
    <w:p>
      <w:pPr>
        <w:spacing w:line="560" w:lineRule="exact"/>
        <w:ind w:left="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乌海市公共资源交易中心</w:t>
      </w:r>
    </w:p>
    <w:p>
      <w:pPr>
        <w:spacing w:line="560" w:lineRule="exact"/>
        <w:ind w:left="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国有土地使用权挂牌出让公告</w:t>
      </w:r>
    </w:p>
    <w:p>
      <w:pPr>
        <w:jc w:val="center"/>
        <w:rPr>
          <w:rFonts w:ascii="仿宋" w:hAnsi="仿宋" w:eastAsia="仿宋"/>
          <w:bCs/>
          <w:color w:val="auto"/>
          <w:sz w:val="32"/>
          <w:szCs w:val="32"/>
          <w:highlight w:val="none"/>
        </w:rPr>
      </w:pPr>
      <w:bookmarkStart w:id="0" w:name="_GoBack"/>
      <w:r>
        <w:rPr>
          <w:rFonts w:hint="eastAsia" w:ascii="仿宋" w:hAnsi="仿宋" w:eastAsia="仿宋" w:cs="仿宋"/>
          <w:bCs/>
          <w:color w:val="auto"/>
          <w:sz w:val="32"/>
          <w:szCs w:val="32"/>
          <w:highlight w:val="none"/>
        </w:rPr>
        <w:t>乌资交挂字〔</w:t>
      </w:r>
      <w:r>
        <w:rPr>
          <w:rFonts w:ascii="仿宋" w:hAnsi="仿宋" w:eastAsia="仿宋" w:cs="仿宋"/>
          <w:bCs/>
          <w:color w:val="auto"/>
          <w:sz w:val="32"/>
          <w:szCs w:val="32"/>
          <w:highlight w:val="none"/>
        </w:rPr>
        <w:t>202</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31</w:t>
      </w:r>
      <w:r>
        <w:rPr>
          <w:rFonts w:hint="eastAsia" w:ascii="仿宋" w:hAnsi="仿宋" w:eastAsia="仿宋" w:cs="仿宋"/>
          <w:bCs/>
          <w:color w:val="auto"/>
          <w:sz w:val="32"/>
          <w:szCs w:val="32"/>
          <w:highlight w:val="none"/>
        </w:rPr>
        <w:t>号</w:t>
      </w:r>
    </w:p>
    <w:p>
      <w:pPr>
        <w:spacing w:line="560" w:lineRule="exact"/>
        <w:ind w:left="0" w:firstLine="643" w:firstLineChars="200"/>
        <w:jc w:val="center"/>
        <w:rPr>
          <w:rFonts w:asciiTheme="minorEastAsia" w:hAnsiTheme="minorEastAsia" w:eastAsiaTheme="minorEastAsia"/>
          <w:b/>
          <w:bCs/>
          <w:color w:val="auto"/>
          <w:sz w:val="32"/>
          <w:szCs w:val="32"/>
        </w:rPr>
      </w:pP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经乌海市人民政府批准，乌海市自然资源</w:t>
      </w:r>
      <w:r>
        <w:rPr>
          <w:rFonts w:hint="eastAsia" w:ascii="仿宋" w:hAnsi="仿宋" w:eastAsia="仿宋" w:cs="FangSong_GB2312"/>
          <w:color w:val="auto"/>
          <w:sz w:val="32"/>
          <w:szCs w:val="32"/>
          <w:lang w:eastAsia="zh-CN"/>
        </w:rPr>
        <w:t>海勃湾</w:t>
      </w:r>
      <w:r>
        <w:rPr>
          <w:rFonts w:hint="eastAsia" w:ascii="仿宋" w:hAnsi="仿宋" w:eastAsia="仿宋" w:cs="FangSong_GB2312"/>
          <w:color w:val="auto"/>
          <w:sz w:val="32"/>
          <w:szCs w:val="32"/>
        </w:rPr>
        <w:t>分局以挂牌方式出让</w:t>
      </w:r>
      <w:r>
        <w:rPr>
          <w:rFonts w:hint="eastAsia" w:ascii="仿宋" w:hAnsi="仿宋" w:eastAsia="仿宋" w:cs="FangSong_GB2312"/>
          <w:color w:val="auto"/>
          <w:sz w:val="32"/>
          <w:szCs w:val="32"/>
          <w:lang w:val="en-US" w:eastAsia="zh-CN"/>
        </w:rPr>
        <w:t>1</w:t>
      </w:r>
      <w:r>
        <w:rPr>
          <w:rFonts w:hint="eastAsia" w:ascii="仿宋" w:hAnsi="仿宋" w:eastAsia="仿宋" w:cs="FangSong_GB2312"/>
          <w:color w:val="auto"/>
          <w:sz w:val="32"/>
          <w:szCs w:val="32"/>
        </w:rPr>
        <w:t>宗地块的国有建设用地使用权，现将有关事项公告如下：</w:t>
      </w:r>
    </w:p>
    <w:p>
      <w:pPr>
        <w:numPr>
          <w:ilvl w:val="0"/>
          <w:numId w:val="1"/>
        </w:numPr>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宗地基本情况和规划要求：</w:t>
      </w:r>
    </w:p>
    <w:tbl>
      <w:tblPr>
        <w:tblStyle w:val="16"/>
        <w:tblW w:w="114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2"/>
        <w:gridCol w:w="742"/>
        <w:gridCol w:w="883"/>
        <w:gridCol w:w="1059"/>
        <w:gridCol w:w="655"/>
        <w:gridCol w:w="618"/>
        <w:gridCol w:w="756"/>
        <w:gridCol w:w="630"/>
        <w:gridCol w:w="807"/>
        <w:gridCol w:w="794"/>
        <w:gridCol w:w="630"/>
        <w:gridCol w:w="996"/>
        <w:gridCol w:w="996"/>
        <w:gridCol w:w="16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exact"/>
          <w:jc w:val="center"/>
        </w:trPr>
        <w:tc>
          <w:tcPr>
            <w:tcW w:w="262" w:type="dxa"/>
            <w:vMerge w:val="restart"/>
            <w:vAlign w:val="center"/>
          </w:tcPr>
          <w:p>
            <w:pPr>
              <w:pStyle w:val="36"/>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序号</w:t>
            </w:r>
          </w:p>
        </w:tc>
        <w:tc>
          <w:tcPr>
            <w:tcW w:w="742" w:type="dxa"/>
            <w:vMerge w:val="restart"/>
            <w:vAlign w:val="center"/>
          </w:tcPr>
          <w:p>
            <w:pPr>
              <w:pStyle w:val="36"/>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编号</w:t>
            </w:r>
          </w:p>
        </w:tc>
        <w:tc>
          <w:tcPr>
            <w:tcW w:w="883" w:type="dxa"/>
            <w:vMerge w:val="restart"/>
            <w:vAlign w:val="center"/>
          </w:tcPr>
          <w:p>
            <w:pPr>
              <w:spacing w:line="300" w:lineRule="exact"/>
              <w:ind w:left="0" w:firstLine="0"/>
              <w:jc w:val="center"/>
              <w:rPr>
                <w:rFonts w:hint="eastAsia" w:ascii="仿宋" w:hAnsi="仿宋" w:eastAsia="仿宋"/>
                <w:color w:val="auto"/>
                <w:sz w:val="18"/>
                <w:szCs w:val="18"/>
              </w:rPr>
            </w:pPr>
            <w:r>
              <w:rPr>
                <w:rFonts w:hint="eastAsia" w:ascii="仿宋" w:hAnsi="仿宋" w:eastAsia="仿宋"/>
                <w:color w:val="auto"/>
                <w:sz w:val="18"/>
                <w:szCs w:val="18"/>
              </w:rPr>
              <w:t>土地位置</w:t>
            </w:r>
          </w:p>
        </w:tc>
        <w:tc>
          <w:tcPr>
            <w:tcW w:w="1059" w:type="dxa"/>
            <w:vMerge w:val="restart"/>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土地面积</w:t>
            </w:r>
            <w:r>
              <w:rPr>
                <w:rFonts w:ascii="仿宋" w:hAnsi="仿宋" w:eastAsia="仿宋" w:cs="FangSong_GB2312falt"/>
                <w:b/>
                <w:bCs/>
                <w:color w:val="auto"/>
                <w:sz w:val="18"/>
                <w:szCs w:val="18"/>
              </w:rPr>
              <w:t>(m</w:t>
            </w:r>
            <w:r>
              <w:rPr>
                <w:rFonts w:ascii="仿宋" w:hAnsi="仿宋" w:eastAsia="仿宋" w:cs="FangSong_GB2312falt"/>
                <w:b/>
                <w:bCs/>
                <w:color w:val="auto"/>
                <w:sz w:val="18"/>
                <w:szCs w:val="18"/>
                <w:vertAlign w:val="superscript"/>
              </w:rPr>
              <w:t>2</w:t>
            </w:r>
            <w:r>
              <w:rPr>
                <w:rFonts w:hint="eastAsia" w:ascii="仿宋" w:hAnsi="仿宋" w:eastAsia="仿宋" w:cs="FangSong_GB2312falt"/>
                <w:b/>
                <w:bCs/>
                <w:color w:val="auto"/>
                <w:sz w:val="18"/>
                <w:szCs w:val="18"/>
              </w:rPr>
              <w:t>）</w:t>
            </w:r>
          </w:p>
        </w:tc>
        <w:tc>
          <w:tcPr>
            <w:tcW w:w="655" w:type="dxa"/>
            <w:vMerge w:val="restart"/>
            <w:vAlign w:val="center"/>
          </w:tcPr>
          <w:p>
            <w:pPr>
              <w:spacing w:line="280" w:lineRule="exact"/>
              <w:ind w:left="0" w:firstLine="0"/>
              <w:jc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lang w:val="en-US" w:eastAsia="zh-CN"/>
              </w:rPr>
              <w:t>土地</w:t>
            </w:r>
          </w:p>
          <w:p>
            <w:pPr>
              <w:spacing w:line="280" w:lineRule="exact"/>
              <w:ind w:left="0" w:firstLine="0"/>
              <w:jc w:val="center"/>
              <w:rPr>
                <w:rFonts w:hint="eastAsia" w:ascii="仿宋" w:hAnsi="仿宋" w:eastAsia="仿宋"/>
                <w:color w:val="auto"/>
                <w:sz w:val="18"/>
                <w:szCs w:val="18"/>
                <w:lang w:val="en-US" w:eastAsia="zh-CN"/>
              </w:rPr>
            </w:pPr>
            <w:r>
              <w:rPr>
                <w:rFonts w:hint="eastAsia" w:ascii="仿宋" w:hAnsi="仿宋" w:eastAsia="仿宋" w:cs="FangSong_GB2312falt"/>
                <w:b/>
                <w:bCs/>
                <w:color w:val="auto"/>
                <w:sz w:val="18"/>
                <w:szCs w:val="18"/>
                <w:lang w:val="en-US" w:eastAsia="zh-CN"/>
              </w:rPr>
              <w:t>用途</w:t>
            </w:r>
          </w:p>
        </w:tc>
        <w:tc>
          <w:tcPr>
            <w:tcW w:w="2811" w:type="dxa"/>
            <w:gridSpan w:val="4"/>
            <w:tcBorders>
              <w:right w:val="single" w:color="auto" w:sz="4" w:space="0"/>
            </w:tcBorders>
          </w:tcPr>
          <w:p>
            <w:pPr>
              <w:pStyle w:val="36"/>
              <w:spacing w:line="240" w:lineRule="exact"/>
              <w:jc w:val="center"/>
              <w:textAlignment w:val="center"/>
              <w:rPr>
                <w:rFonts w:hint="eastAsia" w:ascii="仿宋" w:hAnsi="仿宋" w:eastAsia="仿宋" w:cs="FangSong_GB2312falt"/>
                <w:b/>
                <w:bCs/>
                <w:color w:val="auto"/>
                <w:sz w:val="18"/>
                <w:szCs w:val="18"/>
              </w:rPr>
            </w:pPr>
            <w:r>
              <w:rPr>
                <w:rFonts w:hint="eastAsia" w:ascii="仿宋" w:hAnsi="仿宋" w:eastAsia="仿宋" w:cs="FangSong_GB2312falt"/>
                <w:b/>
                <w:bCs/>
                <w:color w:val="auto"/>
                <w:sz w:val="18"/>
                <w:szCs w:val="18"/>
              </w:rPr>
              <w:t>规划指标要求</w:t>
            </w:r>
          </w:p>
        </w:tc>
        <w:tc>
          <w:tcPr>
            <w:tcW w:w="794" w:type="dxa"/>
            <w:tcBorders>
              <w:left w:val="single" w:color="auto" w:sz="4" w:space="0"/>
              <w:right w:val="single" w:color="auto" w:sz="4" w:space="0"/>
            </w:tcBorders>
            <w:vAlign w:val="center"/>
          </w:tcPr>
          <w:p>
            <w:pPr>
              <w:pStyle w:val="36"/>
              <w:spacing w:line="240" w:lineRule="exact"/>
              <w:jc w:val="center"/>
              <w:textAlignment w:val="center"/>
              <w:rPr>
                <w:rFonts w:hint="eastAsia" w:ascii="仿宋" w:hAnsi="仿宋" w:eastAsia="仿宋" w:cs="FangSong_GB2312falt"/>
                <w:b/>
                <w:bCs/>
                <w:color w:val="auto"/>
                <w:sz w:val="18"/>
                <w:szCs w:val="18"/>
              </w:rPr>
            </w:pPr>
          </w:p>
        </w:tc>
        <w:tc>
          <w:tcPr>
            <w:tcW w:w="630" w:type="dxa"/>
            <w:vMerge w:val="restart"/>
            <w:tcBorders>
              <w:left w:val="single" w:color="auto" w:sz="4" w:space="0"/>
              <w:right w:val="single" w:color="auto" w:sz="4" w:space="0"/>
            </w:tcBorders>
            <w:vAlign w:val="center"/>
          </w:tcPr>
          <w:p>
            <w:pPr>
              <w:pStyle w:val="36"/>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出让</w:t>
            </w:r>
          </w:p>
          <w:p>
            <w:pPr>
              <w:pStyle w:val="36"/>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年限（年）</w:t>
            </w:r>
          </w:p>
        </w:tc>
        <w:tc>
          <w:tcPr>
            <w:tcW w:w="996" w:type="dxa"/>
            <w:vMerge w:val="restart"/>
            <w:tcBorders>
              <w:left w:val="single" w:color="auto" w:sz="4" w:space="0"/>
              <w:right w:val="single" w:color="auto" w:sz="4" w:space="0"/>
            </w:tcBorders>
            <w:vAlign w:val="center"/>
          </w:tcPr>
          <w:p>
            <w:pPr>
              <w:pStyle w:val="36"/>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起挂价</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996" w:type="dxa"/>
            <w:vMerge w:val="restart"/>
            <w:tcBorders>
              <w:left w:val="single" w:color="auto" w:sz="4" w:space="0"/>
              <w:right w:val="single" w:color="auto" w:sz="4" w:space="0"/>
            </w:tcBorders>
            <w:vAlign w:val="center"/>
          </w:tcPr>
          <w:p>
            <w:pPr>
              <w:pStyle w:val="36"/>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保证金</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1646" w:type="dxa"/>
            <w:vMerge w:val="restart"/>
            <w:tcBorders>
              <w:left w:val="single" w:color="auto" w:sz="4" w:space="0"/>
              <w:right w:val="single" w:color="auto" w:sz="4" w:space="0"/>
            </w:tcBorders>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exact"/>
          <w:jc w:val="center"/>
        </w:trPr>
        <w:tc>
          <w:tcPr>
            <w:tcW w:w="262" w:type="dxa"/>
            <w:vMerge w:val="continue"/>
            <w:vAlign w:val="center"/>
          </w:tcPr>
          <w:p>
            <w:pPr>
              <w:spacing w:line="280" w:lineRule="exact"/>
              <w:ind w:left="0" w:firstLine="0"/>
              <w:jc w:val="center"/>
              <w:rPr>
                <w:rFonts w:ascii="仿宋" w:hAnsi="仿宋" w:eastAsia="仿宋"/>
                <w:color w:val="auto"/>
                <w:sz w:val="18"/>
                <w:szCs w:val="18"/>
              </w:rPr>
            </w:pPr>
          </w:p>
        </w:tc>
        <w:tc>
          <w:tcPr>
            <w:tcW w:w="742" w:type="dxa"/>
            <w:vMerge w:val="continue"/>
            <w:vAlign w:val="center"/>
          </w:tcPr>
          <w:p>
            <w:pPr>
              <w:spacing w:line="280" w:lineRule="exact"/>
              <w:ind w:left="0" w:firstLine="0"/>
              <w:jc w:val="center"/>
              <w:rPr>
                <w:rFonts w:ascii="仿宋" w:hAnsi="仿宋" w:eastAsia="仿宋"/>
                <w:color w:val="auto"/>
                <w:sz w:val="18"/>
                <w:szCs w:val="18"/>
              </w:rPr>
            </w:pPr>
          </w:p>
        </w:tc>
        <w:tc>
          <w:tcPr>
            <w:tcW w:w="883" w:type="dxa"/>
            <w:vMerge w:val="continue"/>
            <w:vAlign w:val="center"/>
          </w:tcPr>
          <w:p>
            <w:pPr>
              <w:spacing w:line="300" w:lineRule="exact"/>
              <w:ind w:left="0" w:firstLine="0"/>
              <w:jc w:val="center"/>
              <w:rPr>
                <w:rFonts w:hint="eastAsia" w:ascii="仿宋" w:hAnsi="仿宋" w:eastAsia="仿宋"/>
                <w:color w:val="auto"/>
                <w:sz w:val="18"/>
                <w:szCs w:val="18"/>
              </w:rPr>
            </w:pPr>
          </w:p>
        </w:tc>
        <w:tc>
          <w:tcPr>
            <w:tcW w:w="1059" w:type="dxa"/>
            <w:vMerge w:val="continue"/>
            <w:vAlign w:val="center"/>
          </w:tcPr>
          <w:p>
            <w:pPr>
              <w:spacing w:line="280" w:lineRule="exact"/>
              <w:ind w:left="0" w:firstLine="0"/>
              <w:jc w:val="center"/>
              <w:rPr>
                <w:rFonts w:ascii="仿宋" w:hAnsi="仿宋" w:eastAsia="仿宋"/>
                <w:b/>
                <w:bCs/>
                <w:color w:val="auto"/>
                <w:sz w:val="18"/>
                <w:szCs w:val="18"/>
              </w:rPr>
            </w:pPr>
          </w:p>
        </w:tc>
        <w:tc>
          <w:tcPr>
            <w:tcW w:w="655" w:type="dxa"/>
            <w:vMerge w:val="continue"/>
            <w:vAlign w:val="center"/>
          </w:tcPr>
          <w:p>
            <w:pPr>
              <w:spacing w:line="300" w:lineRule="exact"/>
              <w:ind w:left="0" w:firstLine="0"/>
              <w:jc w:val="center"/>
              <w:rPr>
                <w:rFonts w:hint="eastAsia" w:ascii="仿宋" w:hAnsi="仿宋" w:eastAsia="仿宋"/>
                <w:color w:val="auto"/>
                <w:sz w:val="18"/>
                <w:szCs w:val="18"/>
                <w:lang w:val="en-US" w:eastAsia="zh-CN"/>
              </w:rPr>
            </w:pPr>
          </w:p>
        </w:tc>
        <w:tc>
          <w:tcPr>
            <w:tcW w:w="618" w:type="dxa"/>
            <w:vAlign w:val="center"/>
          </w:tcPr>
          <w:p>
            <w:pPr>
              <w:spacing w:line="24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容积率</w:t>
            </w:r>
          </w:p>
        </w:tc>
        <w:tc>
          <w:tcPr>
            <w:tcW w:w="756" w:type="dxa"/>
            <w:vAlign w:val="center"/>
          </w:tcPr>
          <w:p>
            <w:pPr>
              <w:pStyle w:val="36"/>
              <w:spacing w:line="240" w:lineRule="exact"/>
              <w:jc w:val="center"/>
              <w:textAlignment w:val="center"/>
              <w:rPr>
                <w:rFonts w:ascii="仿宋" w:hAnsi="仿宋" w:eastAsia="仿宋" w:cs="FangSong_GB2312falt"/>
                <w:b/>
                <w:bCs/>
                <w:color w:val="auto"/>
                <w:sz w:val="18"/>
                <w:szCs w:val="18"/>
              </w:rPr>
            </w:pPr>
            <w:r>
              <w:rPr>
                <w:rFonts w:hint="eastAsia" w:ascii="仿宋" w:hAnsi="仿宋" w:eastAsia="仿宋"/>
                <w:b/>
                <w:color w:val="auto"/>
                <w:sz w:val="18"/>
                <w:szCs w:val="18"/>
              </w:rPr>
              <w:t>建筑限高</w:t>
            </w:r>
          </w:p>
        </w:tc>
        <w:tc>
          <w:tcPr>
            <w:tcW w:w="630" w:type="dxa"/>
            <w:vAlign w:val="center"/>
          </w:tcPr>
          <w:p>
            <w:pPr>
              <w:pStyle w:val="36"/>
              <w:spacing w:line="240" w:lineRule="exact"/>
              <w:jc w:val="center"/>
              <w:textAlignment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rPr>
              <w:t>建筑</w:t>
            </w:r>
            <w:r>
              <w:rPr>
                <w:rFonts w:hint="eastAsia" w:ascii="仿宋" w:hAnsi="仿宋" w:eastAsia="仿宋" w:cs="FangSong_GB2312falt"/>
                <w:b/>
                <w:bCs/>
                <w:color w:val="auto"/>
                <w:sz w:val="18"/>
                <w:szCs w:val="18"/>
                <w:lang w:eastAsia="zh-CN"/>
              </w:rPr>
              <w:t>密度</w:t>
            </w:r>
          </w:p>
        </w:tc>
        <w:tc>
          <w:tcPr>
            <w:tcW w:w="807" w:type="dxa"/>
            <w:tcBorders>
              <w:right w:val="single" w:color="auto" w:sz="4" w:space="0"/>
            </w:tcBorders>
            <w:vAlign w:val="center"/>
          </w:tcPr>
          <w:p>
            <w:pPr>
              <w:pStyle w:val="36"/>
              <w:spacing w:line="240" w:lineRule="exact"/>
              <w:jc w:val="center"/>
              <w:textAlignment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rPr>
              <w:t>绿地率</w:t>
            </w:r>
          </w:p>
        </w:tc>
        <w:tc>
          <w:tcPr>
            <w:tcW w:w="794" w:type="dxa"/>
            <w:tcBorders>
              <w:left w:val="single" w:color="auto" w:sz="4" w:space="0"/>
              <w:right w:val="single" w:color="auto" w:sz="4" w:space="0"/>
            </w:tcBorders>
            <w:vAlign w:val="center"/>
          </w:tcPr>
          <w:p>
            <w:pPr>
              <w:pStyle w:val="36"/>
              <w:spacing w:line="240" w:lineRule="exact"/>
              <w:jc w:val="center"/>
              <w:rPr>
                <w:rFonts w:hint="eastAsia" w:ascii="仿宋" w:hAnsi="仿宋" w:eastAsia="仿宋"/>
                <w:b/>
                <w:bCs/>
                <w:color w:val="auto"/>
                <w:sz w:val="18"/>
                <w:szCs w:val="18"/>
                <w:lang w:eastAsia="zh-CN"/>
              </w:rPr>
            </w:pPr>
            <w:r>
              <w:rPr>
                <w:rFonts w:hint="eastAsia" w:ascii="仿宋" w:hAnsi="仿宋" w:eastAsia="仿宋"/>
                <w:b/>
                <w:bCs/>
                <w:color w:val="auto"/>
                <w:sz w:val="18"/>
                <w:szCs w:val="18"/>
                <w:lang w:eastAsia="zh-CN"/>
              </w:rPr>
              <w:t>投资强度</w:t>
            </w:r>
          </w:p>
        </w:tc>
        <w:tc>
          <w:tcPr>
            <w:tcW w:w="630" w:type="dxa"/>
            <w:vMerge w:val="continue"/>
            <w:tcBorders>
              <w:left w:val="single" w:color="auto" w:sz="4" w:space="0"/>
              <w:right w:val="single" w:color="auto" w:sz="4" w:space="0"/>
            </w:tcBorders>
            <w:vAlign w:val="center"/>
          </w:tcPr>
          <w:p>
            <w:pPr>
              <w:pStyle w:val="36"/>
              <w:spacing w:line="240" w:lineRule="exact"/>
              <w:jc w:val="center"/>
              <w:rPr>
                <w:rFonts w:ascii="仿宋" w:hAnsi="仿宋" w:eastAsia="仿宋"/>
                <w:b/>
                <w:bCs/>
                <w:color w:val="auto"/>
                <w:sz w:val="18"/>
                <w:szCs w:val="18"/>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c>
          <w:tcPr>
            <w:tcW w:w="1646" w:type="dxa"/>
            <w:vMerge w:val="continue"/>
            <w:tcBorders>
              <w:left w:val="single" w:color="auto" w:sz="4" w:space="0"/>
              <w:bottom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6"/>
              <w:rPr>
                <w:rFonts w:hint="default" w:ascii="仿宋" w:hAnsi="仿宋" w:eastAsia="仿宋"/>
                <w:color w:val="auto"/>
                <w:lang w:val="en-US" w:eastAsia="zh-CN"/>
              </w:rPr>
            </w:pPr>
            <w:r>
              <w:rPr>
                <w:rFonts w:hint="eastAsia" w:ascii="仿宋" w:hAnsi="仿宋" w:eastAsia="仿宋"/>
                <w:color w:val="auto"/>
                <w:lang w:val="en-US" w:eastAsia="zh-CN"/>
              </w:rPr>
              <w:t>1</w:t>
            </w:r>
          </w:p>
        </w:tc>
        <w:tc>
          <w:tcPr>
            <w:tcW w:w="742"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A-31-01</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滨河二期</w:t>
            </w:r>
            <w:r>
              <w:rPr>
                <w:rFonts w:hint="eastAsia" w:ascii="仿宋_GB2312" w:hAnsi="宋体" w:eastAsia="仿宋_GB2312" w:cs="宋体"/>
                <w:color w:val="auto"/>
                <w:kern w:val="0"/>
                <w:szCs w:val="21"/>
                <w:lang w:eastAsia="zh-CN"/>
              </w:rPr>
              <w:t>文苑街以南、明德路以西</w:t>
            </w:r>
            <w:r>
              <w:rPr>
                <w:rFonts w:hint="eastAsia" w:ascii="仿宋_GB2312" w:hAnsi="宋体" w:eastAsia="仿宋_GB2312" w:cs="宋体"/>
                <w:color w:val="auto"/>
                <w:kern w:val="0"/>
                <w:szCs w:val="21"/>
                <w:lang w:val="en-US" w:eastAsia="zh-CN"/>
              </w:rPr>
              <w:t>（海勃湾区</w:t>
            </w:r>
            <w:r>
              <w:rPr>
                <w:rFonts w:hint="eastAsia" w:ascii="仿宋_GB2312" w:hAnsi="宋体" w:eastAsia="仿宋_GB2312" w:cs="宋体"/>
                <w:color w:val="auto"/>
                <w:kern w:val="0"/>
                <w:szCs w:val="21"/>
              </w:rPr>
              <w:t>）</w:t>
            </w:r>
          </w:p>
        </w:tc>
        <w:tc>
          <w:tcPr>
            <w:tcW w:w="1059"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55457.55</w:t>
            </w:r>
            <w:r>
              <w:rPr>
                <w:rFonts w:hint="eastAsia" w:ascii="仿宋_GB2312" w:hAnsi="宋体" w:eastAsia="仿宋_GB2312" w:cs="宋体"/>
                <w:color w:val="auto"/>
                <w:kern w:val="0"/>
                <w:szCs w:val="21"/>
              </w:rPr>
              <w:t>平方米（约</w:t>
            </w:r>
            <w:r>
              <w:rPr>
                <w:rFonts w:hint="eastAsia" w:ascii="仿宋_GB2312" w:hAnsi="宋体" w:eastAsia="仿宋_GB2312" w:cs="宋体"/>
                <w:color w:val="auto"/>
                <w:kern w:val="0"/>
                <w:szCs w:val="21"/>
                <w:lang w:val="en-US" w:eastAsia="zh-CN"/>
              </w:rPr>
              <w:t>83.19</w:t>
            </w:r>
            <w:r>
              <w:rPr>
                <w:rFonts w:hint="eastAsia" w:ascii="仿宋_GB2312" w:hAnsi="宋体" w:eastAsia="仿宋_GB2312" w:cs="宋体"/>
                <w:color w:val="auto"/>
                <w:kern w:val="0"/>
                <w:szCs w:val="21"/>
              </w:rPr>
              <w:t>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住宅兼商业用地</w:t>
            </w:r>
          </w:p>
        </w:tc>
        <w:tc>
          <w:tcPr>
            <w:tcW w:w="618"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w:t>
            </w:r>
            <w:r>
              <w:rPr>
                <w:rFonts w:hint="eastAsia" w:ascii="仿宋_GB2312" w:hAnsi="宋体" w:eastAsia="仿宋_GB2312" w:cs="宋体"/>
                <w:color w:val="auto"/>
                <w:kern w:val="0"/>
                <w:szCs w:val="21"/>
                <w:lang w:val="en-US" w:eastAsia="zh-CN"/>
              </w:rPr>
              <w:t>2.0</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w:t>
            </w:r>
            <w:r>
              <w:rPr>
                <w:rFonts w:hint="eastAsia" w:ascii="仿宋_GB2312" w:hAnsi="宋体" w:eastAsia="仿宋_GB2312" w:cs="宋体"/>
                <w:color w:val="auto"/>
                <w:kern w:val="0"/>
                <w:szCs w:val="21"/>
                <w:lang w:val="en-US" w:eastAsia="zh-CN"/>
              </w:rPr>
              <w:t>54</w:t>
            </w:r>
            <w:r>
              <w:rPr>
                <w:rFonts w:hint="eastAsia" w:ascii="仿宋_GB2312" w:hAnsi="宋体" w:eastAsia="仿宋_GB2312" w:cs="宋体"/>
                <w:color w:val="auto"/>
                <w:kern w:val="0"/>
                <w:szCs w:val="21"/>
              </w:rPr>
              <w:t>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p>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p>
          <w:p>
            <w:pPr>
              <w:spacing w:line="300" w:lineRule="exact"/>
              <w:ind w:left="0" w:leftChars="0" w:firstLine="0" w:firstLineChars="0"/>
              <w:jc w:val="center"/>
              <w:rPr>
                <w:rFonts w:hint="eastAsia" w:ascii="仿宋_GB2312" w:hAnsi="宋体" w:eastAsia="仿宋_GB2312" w:cs="宋体"/>
                <w:color w:val="auto"/>
                <w:kern w:val="0"/>
                <w:szCs w:val="21"/>
              </w:rPr>
            </w:pPr>
          </w:p>
          <w:p>
            <w:pPr>
              <w:spacing w:line="300" w:lineRule="exact"/>
              <w:ind w:left="0" w:leftChars="0" w:firstLine="0" w:firstLineChars="0"/>
              <w:jc w:val="center"/>
              <w:rPr>
                <w:rFonts w:hint="eastAsia" w:ascii="仿宋_GB2312" w:hAnsi="宋体" w:eastAsia="仿宋_GB2312" w:cs="宋体"/>
                <w:color w:val="auto"/>
                <w:kern w:val="0"/>
                <w:szCs w:val="21"/>
              </w:rPr>
            </w:pPr>
          </w:p>
          <w:p>
            <w:pPr>
              <w:spacing w:line="300" w:lineRule="exact"/>
              <w:ind w:left="0" w:leftChars="0" w:firstLine="0" w:firstLineChars="0"/>
              <w:jc w:val="center"/>
              <w:rPr>
                <w:rFonts w:hint="eastAsia" w:ascii="仿宋_GB2312" w:hAnsi="宋体" w:eastAsia="仿宋_GB2312" w:cs="宋体"/>
                <w:color w:val="auto"/>
                <w:kern w:val="0"/>
                <w:szCs w:val="21"/>
              </w:rPr>
            </w:pPr>
          </w:p>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w:t>
            </w:r>
            <w:r>
              <w:rPr>
                <w:rFonts w:hint="eastAsia" w:ascii="仿宋_GB2312" w:hAnsi="宋体" w:eastAsia="仿宋_GB2312" w:cs="宋体"/>
                <w:color w:val="auto"/>
                <w:kern w:val="0"/>
                <w:szCs w:val="21"/>
                <w:lang w:val="en-US" w:eastAsia="zh-CN"/>
              </w:rPr>
              <w:t>20</w:t>
            </w:r>
            <w:r>
              <w:rPr>
                <w:rFonts w:hint="eastAsia" w:ascii="仿宋_GB2312" w:hAnsi="宋体" w:eastAsia="仿宋_GB2312" w:cs="宋体"/>
                <w:color w:val="auto"/>
                <w:kern w:val="0"/>
                <w:szCs w:val="21"/>
              </w:rPr>
              <w:t>%</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w:t>
            </w:r>
            <w:r>
              <w:rPr>
                <w:rFonts w:hint="eastAsia" w:ascii="仿宋_GB2312" w:hAnsi="宋体" w:eastAsia="仿宋_GB2312" w:cs="宋体"/>
                <w:color w:val="auto"/>
                <w:kern w:val="0"/>
                <w:szCs w:val="21"/>
                <w:lang w:val="en-US" w:eastAsia="zh-CN"/>
              </w:rPr>
              <w:t>35</w:t>
            </w:r>
            <w:r>
              <w:rPr>
                <w:rFonts w:hint="eastAsia" w:ascii="仿宋_GB2312" w:hAnsi="宋体" w:eastAsia="仿宋_GB2312" w:cs="宋体"/>
                <w:color w:val="auto"/>
                <w:kern w:val="0"/>
                <w:szCs w:val="21"/>
              </w:rPr>
              <w:t>%</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w:t>
            </w:r>
          </w:p>
        </w:tc>
        <w:tc>
          <w:tcPr>
            <w:tcW w:w="630" w:type="dxa"/>
            <w:vAlign w:val="center"/>
          </w:tcPr>
          <w:p>
            <w:pPr>
              <w:pStyle w:val="13"/>
              <w:keepNext w:val="0"/>
              <w:keepLines w:val="0"/>
              <w:widowControl/>
              <w:suppressLineNumbers w:val="0"/>
              <w:spacing w:before="210" w:beforeAutospacing="0" w:after="210" w:afterAutospacing="0" w:line="240" w:lineRule="atLeast"/>
              <w:ind w:left="0" w:right="0" w:firstLine="0"/>
              <w:jc w:val="center"/>
              <w:textAlignment w:val="baseline"/>
              <w:rPr>
                <w:color w:val="auto"/>
              </w:rPr>
            </w:pPr>
            <w:r>
              <w:rPr>
                <w:rFonts w:hint="eastAsia" w:ascii="仿宋_GB2312" w:hAnsi="宋体" w:eastAsia="仿宋_GB2312" w:cs="宋体"/>
                <w:color w:val="auto"/>
                <w:kern w:val="0"/>
                <w:sz w:val="21"/>
                <w:szCs w:val="21"/>
                <w:lang w:val="en-US" w:eastAsia="zh-CN" w:bidi="ar-SA"/>
              </w:rPr>
              <w:t>住宅70年、商业40年</w:t>
            </w:r>
          </w:p>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p>
        </w:tc>
        <w:tc>
          <w:tcPr>
            <w:tcW w:w="996"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17086.4712</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8543.2356</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地块的面积、规划方案等均以乌海市国土空间规划委员会最终批准方案为准。</w:t>
            </w:r>
          </w:p>
        </w:tc>
      </w:tr>
    </w:tbl>
    <w:p>
      <w:pPr>
        <w:tabs>
          <w:tab w:val="left" w:pos="7350"/>
        </w:tabs>
        <w:spacing w:line="560" w:lineRule="exact"/>
        <w:ind w:left="0" w:leftChars="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二、中华人民共和国境内外的法人、自然人和其他组织，除法律法规对申请人另有限制外，均可申请参加。本次挂牌不接受联合申请。</w:t>
      </w:r>
    </w:p>
    <w:p>
      <w:pPr>
        <w:tabs>
          <w:tab w:val="left" w:pos="7350"/>
        </w:tabs>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工业项目用地，竞得人在项目审批时，除满足《工业项目建设用地控制指标》的要求外，还必须遵守城市规划、环境保护等法律法规，并符合国家的产业政策。</w:t>
      </w:r>
    </w:p>
    <w:p>
      <w:pPr>
        <w:tabs>
          <w:tab w:val="left" w:pos="7350"/>
        </w:tabs>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房地产开发用地，申请竞买者须提交保证金不属于银行贷款、股东借款、转贷和募集资金的承诺书及商业金融机构的资信证明。</w:t>
      </w:r>
    </w:p>
    <w:p>
      <w:pPr>
        <w:tabs>
          <w:tab w:val="left" w:pos="7350"/>
        </w:tabs>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三、</w:t>
      </w:r>
      <w:r>
        <w:rPr>
          <w:rStyle w:val="18"/>
          <w:rFonts w:hint="eastAsia" w:ascii="仿宋" w:hAnsi="仿宋" w:eastAsia="仿宋"/>
          <w:b w:val="0"/>
          <w:color w:val="000000" w:themeColor="text1"/>
          <w:sz w:val="32"/>
          <w:szCs w:val="32"/>
          <w:shd w:val="clear" w:color="auto" w:fill="FFFFFF"/>
          <w14:textFill>
            <w14:solidFill>
              <w14:schemeClr w14:val="tx1"/>
            </w14:solidFill>
          </w14:textFill>
        </w:rPr>
        <w:t>竞价原则</w:t>
      </w:r>
    </w:p>
    <w:p>
      <w:pPr>
        <w:tabs>
          <w:tab w:val="left" w:pos="7350"/>
        </w:tabs>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本次国有建设用地使用权挂牌出让按照价高者得原则确定竞得人。</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auto"/>
          <w:sz w:val="32"/>
          <w:szCs w:val="32"/>
        </w:rPr>
        <w:t>四、本次挂牌出让的公告时间为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6</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27</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7</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16</w:t>
      </w:r>
      <w:r>
        <w:rPr>
          <w:rFonts w:hint="eastAsia" w:ascii="仿宋" w:hAnsi="仿宋" w:eastAsia="仿宋" w:cs="FangSong_GB2312"/>
          <w:color w:val="auto"/>
          <w:sz w:val="32"/>
          <w:szCs w:val="32"/>
          <w:highlight w:val="none"/>
        </w:rPr>
        <w:t>日，详细资料和具体要求，以挂牌出让文件为准。申请人可于</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6</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27</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7</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25</w:t>
      </w:r>
      <w:r>
        <w:rPr>
          <w:rFonts w:hint="eastAsia" w:ascii="仿宋" w:hAnsi="仿宋" w:eastAsia="仿宋" w:cs="FangSong_GB2312"/>
          <w:color w:val="auto"/>
          <w:sz w:val="32"/>
          <w:szCs w:val="32"/>
          <w:highlight w:val="none"/>
        </w:rPr>
        <w:t>日</w:t>
      </w:r>
      <w:r>
        <w:rPr>
          <w:rFonts w:hint="eastAsia" w:ascii="仿宋" w:hAnsi="仿宋" w:eastAsia="仿宋" w:cs="FangSong_GB2312"/>
          <w:color w:val="auto"/>
          <w:sz w:val="32"/>
          <w:szCs w:val="32"/>
        </w:rPr>
        <w:t>到乌海市公共资源交易中心或登陆网站（</w:t>
      </w:r>
      <w:r>
        <w:rPr>
          <w:rFonts w:ascii="仿宋" w:hAnsi="仿宋" w:eastAsia="仿宋" w:cs="FangSong_GB2312"/>
          <w:color w:val="auto"/>
          <w:sz w:val="32"/>
          <w:szCs w:val="32"/>
        </w:rPr>
        <w:t>http:// zrzy.wuhai.gov.cn/</w:t>
      </w:r>
      <w:r>
        <w:rPr>
          <w:rFonts w:hint="eastAsia" w:ascii="仿宋" w:hAnsi="仿宋" w:eastAsia="仿宋" w:cs="FangSong_GB2312"/>
          <w:color w:val="auto"/>
          <w:sz w:val="32"/>
          <w:szCs w:val="32"/>
        </w:rPr>
        <w:t>或</w:t>
      </w:r>
      <w:r>
        <w:rPr>
          <w:rFonts w:ascii="仿宋" w:hAnsi="仿宋" w:eastAsia="仿宋" w:cs="FangSong_GB2312"/>
          <w:color w:val="auto"/>
          <w:sz w:val="32"/>
          <w:szCs w:val="32"/>
        </w:rPr>
        <w:t>http://www.whggzy.com</w:t>
      </w:r>
      <w:r>
        <w:rPr>
          <w:rFonts w:hint="eastAsia" w:ascii="仿宋" w:hAnsi="仿宋" w:eastAsia="仿宋" w:cs="FangSong_GB2312"/>
          <w:color w:val="000000" w:themeColor="text1"/>
          <w:sz w:val="32"/>
          <w:szCs w:val="32"/>
          <w14:textFill>
            <w14:solidFill>
              <w14:schemeClr w14:val="tx1"/>
            </w14:solidFill>
          </w14:textFill>
        </w:rPr>
        <w:t>）或内蒙古自治区网上交易系统（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）获取本次挂牌出让的出让须知和有关资料（不包括法定节假日）。</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auto"/>
          <w:sz w:val="32"/>
          <w:szCs w:val="32"/>
        </w:rPr>
        <w:t>五、本次挂牌地点为乌海市公共资源交易中心，</w:t>
      </w:r>
      <w:r>
        <w:rPr>
          <w:rFonts w:hint="eastAsia" w:ascii="仿宋" w:hAnsi="仿宋" w:eastAsia="仿宋" w:cs="FangSong_GB2312"/>
          <w:color w:val="auto"/>
          <w:sz w:val="32"/>
          <w:szCs w:val="32"/>
          <w:highlight w:val="none"/>
        </w:rPr>
        <w:t>挂牌时间为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7</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17</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9</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7</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28</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r>
        <w:rPr>
          <w:rFonts w:hint="eastAsia" w:ascii="仿宋" w:hAnsi="仿宋" w:eastAsia="仿宋" w:cs="FangSong_GB2312"/>
          <w:color w:val="auto"/>
          <w:sz w:val="32"/>
          <w:szCs w:val="32"/>
        </w:rPr>
        <w:t>（不包括法定节假日）</w:t>
      </w:r>
      <w:r>
        <w:rPr>
          <w:rFonts w:hint="eastAsia" w:ascii="仿宋" w:hAnsi="仿宋" w:eastAsia="仿宋" w:cs="FangSong_GB2312"/>
          <w:color w:val="000000" w:themeColor="text1"/>
          <w:sz w:val="32"/>
          <w:szCs w:val="32"/>
          <w14:textFill>
            <w14:solidFill>
              <w14:schemeClr w14:val="tx1"/>
            </w14:solidFill>
          </w14:textFill>
        </w:rPr>
        <w:t>。</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六、本次土地挂牌出让采用网上竞买申请的方式。竞买人在报名期内登录“内蒙古自治区国土资源网上交易系统”使用CA证书获取预申购资源的竞买申请书。</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CA证书的办理流程详见乌海市公共资源交易中心网站办事指南中CA办理指南。</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七、</w:t>
      </w:r>
      <w:r>
        <w:rPr>
          <w:rFonts w:hint="eastAsia" w:ascii="仿宋" w:hAnsi="仿宋" w:eastAsia="仿宋"/>
          <w:color w:val="000000" w:themeColor="text1"/>
          <w:sz w:val="32"/>
          <w:szCs w:val="32"/>
          <w:shd w:val="clear" w:color="auto" w:fill="FFFFFF"/>
          <w14:textFill>
            <w14:solidFill>
              <w14:schemeClr w14:val="tx1"/>
            </w14:solidFill>
          </w14:textFill>
        </w:rPr>
        <w:t>竞买保证金缴纳</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交纳竞买保证金的截</w:t>
      </w:r>
      <w:r>
        <w:rPr>
          <w:rFonts w:hint="eastAsia" w:ascii="仿宋" w:hAnsi="仿宋" w:eastAsia="仿宋" w:cs="FangSong_GB2312"/>
          <w:color w:val="auto"/>
          <w:sz w:val="32"/>
          <w:szCs w:val="32"/>
        </w:rPr>
        <w:t>止时间为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7</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25</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八、确定竞得人的标准和方法</w:t>
      </w:r>
    </w:p>
    <w:p>
      <w:pPr>
        <w:spacing w:line="560" w:lineRule="exact"/>
        <w:ind w:left="0" w:firstLine="640" w:firstLineChars="200"/>
        <w:textAlignment w:val="baseline"/>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1、申请人按规定交纳竞买保证金，保证金到账后，内蒙古自治区国土资源网上交易系统自动确定该竞买人的竞买资格，签发相应宗地的《竞买资格确认书》</w:t>
      </w:r>
      <w:r>
        <w:rPr>
          <w:rFonts w:ascii="仿宋" w:hAnsi="仿宋" w:eastAsia="仿宋" w:cs="FangSong_GB2312"/>
          <w:bCs/>
          <w:color w:val="000000" w:themeColor="text1"/>
          <w:sz w:val="32"/>
          <w:szCs w:val="32"/>
          <w14:textFill>
            <w14:solidFill>
              <w14:schemeClr w14:val="tx1"/>
            </w14:solidFill>
          </w14:textFill>
        </w:rPr>
        <w:t>（以资金划入指定账户为准）</w:t>
      </w:r>
      <w:r>
        <w:rPr>
          <w:rFonts w:hint="eastAsia" w:ascii="仿宋" w:hAnsi="仿宋" w:eastAsia="仿宋" w:cs="FangSong_GB2312"/>
          <w:bCs/>
          <w:color w:val="000000" w:themeColor="text1"/>
          <w:sz w:val="32"/>
          <w:szCs w:val="32"/>
          <w14:textFill>
            <w14:solidFill>
              <w14:schemeClr w14:val="tx1"/>
            </w14:solidFill>
          </w14:textFill>
        </w:rPr>
        <w:t>。</w:t>
      </w:r>
    </w:p>
    <w:p>
      <w:pPr>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2、取得《竞买资格确认书》的竞买人，在网上挂牌期限内，可通过CA证书登录系统后进行有效报价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r>
        <w:rPr>
          <w:rFonts w:hint="eastAsia" w:ascii="仿宋" w:hAnsi="仿宋" w:eastAsia="仿宋"/>
          <w:color w:val="000000" w:themeColor="text1"/>
          <w:sz w:val="32"/>
          <w:szCs w:val="32"/>
          <w:shd w:val="clear" w:color="auto" w:fill="FFFFFF"/>
          <w14:textFill>
            <w14:solidFill>
              <w14:schemeClr w14:val="tx1"/>
            </w14:solidFill>
          </w14:textFill>
        </w:rPr>
        <w:t>，</w:t>
      </w:r>
      <w:r>
        <w:rPr>
          <w:rFonts w:hint="eastAsia" w:ascii="仿宋" w:hAnsi="仿宋" w:eastAsia="仿宋" w:cs="FangSong_GB2312"/>
          <w:color w:val="000000" w:themeColor="text1"/>
          <w:sz w:val="32"/>
          <w:szCs w:val="32"/>
          <w14:textFill>
            <w14:solidFill>
              <w14:schemeClr w14:val="tx1"/>
            </w14:solidFill>
          </w14:textFill>
        </w:rPr>
        <w:t>网上挂牌期限截止时，如果</w:t>
      </w:r>
      <w:r>
        <w:rPr>
          <w:rFonts w:hint="eastAsia" w:ascii="仿宋" w:hAnsi="仿宋" w:eastAsia="仿宋"/>
          <w:color w:val="000000" w:themeColor="text1"/>
          <w:sz w:val="32"/>
          <w:szCs w:val="32"/>
          <w14:textFill>
            <w14:solidFill>
              <w14:schemeClr w14:val="tx1"/>
            </w14:solidFill>
          </w14:textFill>
        </w:rPr>
        <w:t>只有一个竞买人报价：设有底价的资源，交易系统判定报价是否低于底价,高于底价且符合其他条件的确定其为预竞得人;低于底价的,挂牌不成交。不设置底价的系统直接确定其为预竞得人。</w:t>
      </w:r>
    </w:p>
    <w:p>
      <w:pPr>
        <w:spacing w:line="560" w:lineRule="exact"/>
        <w:ind w:left="0" w:firstLine="640" w:firstLineChars="200"/>
        <w:textAlignment w:val="baseline"/>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spacing w:line="560" w:lineRule="exact"/>
        <w:ind w:left="0" w:firstLine="640" w:firstLineChars="200"/>
        <w:textAlignment w:val="baseline"/>
        <w:rPr>
          <w:rFonts w:ascii="仿宋" w:hAnsi="仿宋" w:eastAsia="仿宋" w:cs="FangSong_GB2312"/>
          <w:b/>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网上挂牌期限截止时，无人报价的，挂牌结束，资源不成交。</w:t>
      </w:r>
    </w:p>
    <w:p>
      <w:pPr>
        <w:autoSpaceDE w:val="0"/>
        <w:spacing w:line="56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九、查询网址：</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中国土地市场网</w:t>
      </w:r>
      <w:r>
        <w:rPr>
          <w:rFonts w:ascii="仿宋" w:hAnsi="仿宋" w:eastAsia="仿宋" w:cs="FangSong_GB2312"/>
          <w:color w:val="000000" w:themeColor="text1"/>
          <w:sz w:val="32"/>
          <w:szCs w:val="32"/>
          <w14:textFill>
            <w14:solidFill>
              <w14:schemeClr w14:val="tx1"/>
            </w14:solidFill>
          </w14:textFill>
        </w:rPr>
        <w:t xml:space="preserve"> (http://www.landchina.com)</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乌海市自然资源局（</w:t>
      </w:r>
      <w:r>
        <w:rPr>
          <w:rFonts w:ascii="仿宋" w:hAnsi="仿宋" w:eastAsia="仿宋" w:cs="FangSong_GB2312"/>
          <w:color w:val="000000" w:themeColor="text1"/>
          <w:sz w:val="32"/>
          <w:szCs w:val="32"/>
          <w14:textFill>
            <w14:solidFill>
              <w14:schemeClr w14:val="tx1"/>
            </w14:solidFill>
          </w14:textFill>
        </w:rPr>
        <w:t>http://zrzy.wuhai.gov.cn/)</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"http://www.whggzy.com" </w:instrText>
      </w:r>
      <w:r>
        <w:rPr>
          <w:color w:val="000000" w:themeColor="text1"/>
          <w14:textFill>
            <w14:solidFill>
              <w14:schemeClr w14:val="tx1"/>
            </w14:solidFill>
          </w14:textFill>
        </w:rPr>
        <w:fldChar w:fldCharType="separate"/>
      </w:r>
      <w:r>
        <w:rPr>
          <w:rStyle w:val="22"/>
          <w:rFonts w:ascii="仿宋" w:hAnsi="仿宋" w:eastAsia="仿宋" w:cs="FangSong_GB2312"/>
          <w:color w:val="000000" w:themeColor="text1"/>
          <w:sz w:val="32"/>
          <w:szCs w:val="32"/>
          <w:u w:val="none"/>
          <w14:textFill>
            <w14:solidFill>
              <w14:schemeClr w14:val="tx1"/>
            </w14:solidFill>
          </w14:textFill>
        </w:rPr>
        <w:t>http://www.whggzy.com</w:t>
      </w:r>
      <w:r>
        <w:rPr>
          <w:rStyle w:val="22"/>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内蒙古自治区公共资源交易网(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"http://ggzyjy.nmg.gov.cn/" </w:instrText>
      </w:r>
      <w:r>
        <w:rPr>
          <w:color w:val="000000" w:themeColor="text1"/>
          <w14:textFill>
            <w14:solidFill>
              <w14:schemeClr w14:val="tx1"/>
            </w14:solidFill>
          </w14:textFill>
        </w:rPr>
        <w:fldChar w:fldCharType="separate"/>
      </w:r>
      <w:r>
        <w:rPr>
          <w:rStyle w:val="22"/>
          <w:rFonts w:ascii="仿宋" w:hAnsi="仿宋" w:eastAsia="仿宋" w:cs="FangSong_GB2312"/>
          <w:color w:val="000000" w:themeColor="text1"/>
          <w:sz w:val="32"/>
          <w:szCs w:val="32"/>
          <w:u w:val="none"/>
          <w14:textFill>
            <w14:solidFill>
              <w14:schemeClr w14:val="tx1"/>
            </w14:solidFill>
          </w14:textFill>
        </w:rPr>
        <w:t>http://ggzyjy.nmg.gov.cn/</w:t>
      </w:r>
      <w:r>
        <w:rPr>
          <w:rStyle w:val="22"/>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479" w:leftChars="228" w:firstLine="160" w:firstLineChars="5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内蒙古自治区自然资源网上交易系统（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w:t>
      </w:r>
    </w:p>
    <w:p>
      <w:pPr>
        <w:spacing w:line="560" w:lineRule="exact"/>
        <w:ind w:left="0" w:firstLine="640" w:firstLineChars="200"/>
        <w:jc w:val="left"/>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十、乌海市公共资源交易中心联系人：</w:t>
      </w:r>
      <w:r>
        <w:rPr>
          <w:rFonts w:hint="eastAsia" w:ascii="仿宋" w:hAnsi="仿宋" w:eastAsia="仿宋"/>
          <w:color w:val="000000" w:themeColor="text1"/>
          <w:sz w:val="32"/>
          <w:szCs w:val="32"/>
          <w14:textFill>
            <w14:solidFill>
              <w14:schemeClr w14:val="tx1"/>
            </w14:solidFill>
          </w14:textFill>
        </w:rPr>
        <w:t xml:space="preserve">王工   张工 </w:t>
      </w:r>
    </w:p>
    <w:p>
      <w:pPr>
        <w:spacing w:line="560" w:lineRule="exact"/>
        <w:ind w:left="6380" w:leftChars="600" w:hanging="5120" w:hangingChars="1600"/>
        <w:jc w:val="left"/>
        <w:textAlignment w:val="baseline"/>
        <w:rPr>
          <w:rFonts w:ascii="仿宋" w:hAnsi="仿宋" w:eastAsia="仿宋" w:cs="FangSong_GB2312"/>
          <w:color w:val="auto"/>
          <w:sz w:val="32"/>
          <w:szCs w:val="32"/>
        </w:rPr>
      </w:pPr>
      <w:r>
        <w:rPr>
          <w:rFonts w:hint="eastAsia" w:ascii="仿宋" w:hAnsi="仿宋" w:eastAsia="仿宋" w:cs="FangSong_GB2312"/>
          <w:color w:val="000000" w:themeColor="text1"/>
          <w:sz w:val="32"/>
          <w:szCs w:val="32"/>
          <w14:textFill>
            <w14:solidFill>
              <w14:schemeClr w14:val="tx1"/>
            </w14:solidFill>
          </w14:textFill>
        </w:rPr>
        <w:t xml:space="preserve">乌海市公共资源交易中心联系电话：0473-2999715  </w:t>
      </w:r>
      <w:r>
        <w:rPr>
          <w:rFonts w:hint="eastAsia" w:ascii="仿宋" w:hAnsi="仿宋" w:eastAsia="仿宋" w:cs="FangSong_GB2312"/>
          <w:color w:val="auto"/>
          <w:sz w:val="32"/>
          <w:szCs w:val="32"/>
        </w:rPr>
        <w:t>0473-2999760</w:t>
      </w:r>
    </w:p>
    <w:p>
      <w:pPr>
        <w:spacing w:line="560" w:lineRule="exact"/>
        <w:ind w:firstLine="1280" w:firstLineChars="400"/>
        <w:jc w:val="left"/>
        <w:textAlignment w:val="baseline"/>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乌海市自然资源局</w:t>
      </w:r>
      <w:r>
        <w:rPr>
          <w:rFonts w:hint="eastAsia" w:ascii="仿宋" w:hAnsi="仿宋" w:eastAsia="仿宋"/>
          <w:color w:val="auto"/>
          <w:sz w:val="32"/>
          <w:szCs w:val="32"/>
          <w:highlight w:val="none"/>
          <w:lang w:eastAsia="zh-CN"/>
        </w:rPr>
        <w:t>海勃湾</w:t>
      </w:r>
      <w:r>
        <w:rPr>
          <w:rFonts w:hint="eastAsia" w:ascii="仿宋" w:hAnsi="仿宋" w:eastAsia="仿宋"/>
          <w:color w:val="auto"/>
          <w:sz w:val="32"/>
          <w:szCs w:val="32"/>
          <w:highlight w:val="none"/>
        </w:rPr>
        <w:t>分局联系人:</w:t>
      </w:r>
      <w:r>
        <w:rPr>
          <w:rFonts w:hint="eastAsia" w:ascii="仿宋" w:hAnsi="仿宋" w:eastAsia="仿宋"/>
          <w:color w:val="auto"/>
          <w:sz w:val="32"/>
          <w:szCs w:val="32"/>
          <w:highlight w:val="none"/>
          <w:lang w:eastAsia="zh-CN"/>
        </w:rPr>
        <w:t>张闻天</w:t>
      </w:r>
    </w:p>
    <w:p>
      <w:pPr>
        <w:spacing w:line="560" w:lineRule="exact"/>
        <w:ind w:firstLine="1280" w:firstLineChars="400"/>
        <w:jc w:val="left"/>
        <w:textAlignment w:val="baseline"/>
        <w:rPr>
          <w:rStyle w:val="18"/>
          <w:rFonts w:hint="default" w:ascii="仿宋" w:hAnsi="仿宋" w:eastAsia="仿宋"/>
          <w:b w:val="0"/>
          <w:color w:val="auto"/>
          <w:sz w:val="32"/>
          <w:szCs w:val="32"/>
          <w:lang w:val="en-US" w:eastAsia="zh-CN"/>
        </w:rPr>
      </w:pPr>
      <w:r>
        <w:rPr>
          <w:rFonts w:hint="eastAsia" w:ascii="仿宋" w:hAnsi="仿宋" w:eastAsia="仿宋"/>
          <w:color w:val="auto"/>
          <w:sz w:val="32"/>
          <w:szCs w:val="32"/>
          <w:highlight w:val="none"/>
        </w:rPr>
        <w:t>乌海市自然资源局</w:t>
      </w:r>
      <w:r>
        <w:rPr>
          <w:rFonts w:hint="eastAsia" w:ascii="仿宋" w:hAnsi="仿宋" w:eastAsia="仿宋"/>
          <w:color w:val="auto"/>
          <w:sz w:val="32"/>
          <w:szCs w:val="32"/>
          <w:highlight w:val="none"/>
          <w:lang w:eastAsia="zh-CN"/>
        </w:rPr>
        <w:t>海勃湾</w:t>
      </w:r>
      <w:r>
        <w:rPr>
          <w:rFonts w:hint="eastAsia" w:ascii="仿宋" w:hAnsi="仿宋" w:eastAsia="仿宋"/>
          <w:color w:val="auto"/>
          <w:sz w:val="32"/>
          <w:szCs w:val="32"/>
          <w:highlight w:val="none"/>
        </w:rPr>
        <w:t>分局</w:t>
      </w:r>
      <w:r>
        <w:rPr>
          <w:rFonts w:hint="eastAsia" w:ascii="仿宋" w:hAnsi="仿宋" w:eastAsia="仿宋"/>
          <w:color w:val="auto"/>
          <w:sz w:val="32"/>
          <w:szCs w:val="32"/>
        </w:rPr>
        <w:t>联系电话:0473-</w:t>
      </w:r>
      <w:r>
        <w:rPr>
          <w:rFonts w:hint="eastAsia" w:ascii="仿宋" w:hAnsi="仿宋" w:eastAsia="仿宋"/>
          <w:color w:val="auto"/>
          <w:sz w:val="32"/>
          <w:szCs w:val="32"/>
          <w:lang w:val="en-US" w:eastAsia="zh-CN"/>
        </w:rPr>
        <w:t>6995512</w:t>
      </w:r>
    </w:p>
    <w:p>
      <w:pPr>
        <w:spacing w:line="560" w:lineRule="exact"/>
        <w:ind w:firstLine="1280" w:firstLineChars="400"/>
        <w:jc w:val="right"/>
        <w:textAlignment w:val="baseline"/>
        <w:rPr>
          <w:rFonts w:ascii="仿宋" w:hAnsi="仿宋" w:eastAsia="仿宋"/>
          <w:color w:val="auto"/>
          <w:sz w:val="32"/>
          <w:szCs w:val="32"/>
        </w:rPr>
      </w:pPr>
    </w:p>
    <w:p>
      <w:pPr>
        <w:spacing w:line="560" w:lineRule="exact"/>
        <w:ind w:firstLine="1280" w:firstLineChars="400"/>
        <w:jc w:val="right"/>
        <w:textAlignment w:val="baseline"/>
        <w:rPr>
          <w:rFonts w:ascii="仿宋" w:hAnsi="仿宋" w:eastAsia="仿宋"/>
          <w:color w:val="auto"/>
          <w:sz w:val="32"/>
          <w:szCs w:val="32"/>
          <w:highlight w:val="none"/>
        </w:rPr>
      </w:pPr>
      <w:r>
        <w:rPr>
          <w:rFonts w:hint="eastAsia" w:ascii="仿宋" w:hAnsi="仿宋" w:eastAsia="仿宋"/>
          <w:color w:val="auto"/>
          <w:sz w:val="32"/>
          <w:szCs w:val="32"/>
        </w:rPr>
        <w:t>乌海</w:t>
      </w:r>
      <w:r>
        <w:rPr>
          <w:rFonts w:hint="eastAsia" w:ascii="仿宋" w:hAnsi="仿宋" w:eastAsia="仿宋"/>
          <w:color w:val="auto"/>
          <w:sz w:val="32"/>
          <w:szCs w:val="32"/>
          <w:highlight w:val="none"/>
        </w:rPr>
        <w:t>市公共资源交易中心</w:t>
      </w:r>
    </w:p>
    <w:p>
      <w:pPr>
        <w:spacing w:line="560" w:lineRule="exact"/>
        <w:ind w:firstLine="1280" w:firstLineChars="400"/>
        <w:jc w:val="right"/>
        <w:textAlignment w:val="baseline"/>
        <w:rPr>
          <w:rFonts w:ascii="仿宋" w:hAnsi="仿宋" w:eastAsia="仿宋"/>
          <w:color w:val="auto"/>
          <w:sz w:val="32"/>
          <w:szCs w:val="32"/>
          <w:highlight w:val="yellow"/>
        </w:rPr>
      </w:pPr>
      <w:r>
        <w:rPr>
          <w:rFonts w:hint="eastAsia" w:ascii="仿宋" w:hAnsi="仿宋" w:eastAsia="仿宋"/>
          <w:color w:val="auto"/>
          <w:sz w:val="32"/>
          <w:szCs w:val="32"/>
          <w:highlight w:val="none"/>
        </w:rPr>
        <w:t xml:space="preserve">                               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27</w:t>
      </w:r>
      <w:r>
        <w:rPr>
          <w:rFonts w:hint="eastAsia" w:ascii="仿宋" w:hAnsi="仿宋" w:eastAsia="仿宋"/>
          <w:color w:val="auto"/>
          <w:sz w:val="32"/>
          <w:szCs w:val="32"/>
          <w:highlight w:val="none"/>
        </w:rPr>
        <w:t xml:space="preserve">日 </w:t>
      </w:r>
    </w:p>
    <w:p>
      <w:pPr>
        <w:spacing w:line="538" w:lineRule="exact"/>
        <w:ind w:left="0" w:firstLine="0"/>
        <w:jc w:val="both"/>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14:textFill>
            <w14:solidFill>
              <w14:schemeClr w14:val="tx1"/>
            </w14:solidFill>
          </w14:textFill>
        </w:rPr>
        <w:t>乌海市国有建设用地使用权挂牌出让须知</w:t>
      </w:r>
    </w:p>
    <w:p>
      <w:pPr>
        <w:tabs>
          <w:tab w:val="left" w:pos="4400"/>
          <w:tab w:val="left" w:pos="4600"/>
        </w:tabs>
        <w:spacing w:line="540" w:lineRule="exact"/>
        <w:ind w:left="0" w:firstLine="640" w:firstLineChars="200"/>
        <w:rPr>
          <w:rFonts w:asciiTheme="minorEastAsia" w:hAnsiTheme="minorEastAsia" w:eastAsiaTheme="minorEastAsia"/>
          <w:color w:val="000000" w:themeColor="text1"/>
          <w:sz w:val="32"/>
          <w:szCs w:val="32"/>
          <w14:textFill>
            <w14:solidFill>
              <w14:schemeClr w14:val="tx1"/>
            </w14:solidFill>
          </w14:textFill>
        </w:rPr>
      </w:pP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乌海市人民政府批准，乌海市自然资源局</w:t>
      </w:r>
      <w:r>
        <w:rPr>
          <w:rFonts w:hint="eastAsia" w:ascii="仿宋" w:hAnsi="仿宋" w:eastAsia="仿宋"/>
          <w:color w:val="000000" w:themeColor="text1"/>
          <w:sz w:val="32"/>
          <w:szCs w:val="32"/>
          <w:lang w:eastAsia="zh-CN"/>
          <w14:textFill>
            <w14:solidFill>
              <w14:schemeClr w14:val="tx1"/>
            </w14:solidFill>
          </w14:textFill>
        </w:rPr>
        <w:t>海勃湾</w:t>
      </w:r>
      <w:r>
        <w:rPr>
          <w:rFonts w:hint="eastAsia" w:ascii="仿宋" w:hAnsi="仿宋" w:eastAsia="仿宋"/>
          <w:color w:val="000000" w:themeColor="text1"/>
          <w:sz w:val="32"/>
          <w:szCs w:val="32"/>
          <w14:textFill>
            <w14:solidFill>
              <w14:schemeClr w14:val="tx1"/>
            </w14:solidFill>
          </w14:textFill>
        </w:rPr>
        <w:t>分局以挂牌方式出让</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宗地块的国有建设用地使用权。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一、本次国有建设用地使用权挂牌出让的出让人为乌海市自然资源局</w:t>
      </w:r>
      <w:r>
        <w:rPr>
          <w:rFonts w:hint="eastAsia" w:ascii="仿宋" w:hAnsi="仿宋" w:eastAsia="仿宋"/>
          <w:color w:val="000000" w:themeColor="text1"/>
          <w:sz w:val="32"/>
          <w:szCs w:val="32"/>
          <w:lang w:val="en-US" w:eastAsia="zh-CN"/>
          <w14:textFill>
            <w14:solidFill>
              <w14:schemeClr w14:val="tx1"/>
            </w14:solidFill>
          </w14:textFill>
        </w:rPr>
        <w:t>海勃湾</w:t>
      </w:r>
      <w:r>
        <w:rPr>
          <w:rFonts w:hint="eastAsia" w:ascii="仿宋" w:hAnsi="仿宋" w:eastAsia="仿宋"/>
          <w:color w:val="000000" w:themeColor="text1"/>
          <w:sz w:val="32"/>
          <w:szCs w:val="32"/>
          <w14:textFill>
            <w14:solidFill>
              <w14:schemeClr w14:val="tx1"/>
            </w14:solidFill>
          </w14:textFill>
        </w:rPr>
        <w:t>分局，具体组织实施由乌海市公共资源交易中心负责。</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二、本次国有建设用地使用权挂牌出让遵循公开、公平、公正和诚实信用的原则。</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三、出让地块的基本情况及规划指标要求等：</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一号地块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_GB2312" w:hAnsi="仿宋_GB2312" w:eastAsia="仿宋_GB2312" w:cs="仿宋_GB2312"/>
          <w:snapToGrid w:val="0"/>
          <w:kern w:val="0"/>
          <w:sz w:val="32"/>
          <w:szCs w:val="32"/>
        </w:rPr>
        <w:t>滨河二期</w:t>
      </w:r>
      <w:r>
        <w:rPr>
          <w:rFonts w:hint="eastAsia" w:ascii="仿宋_GB2312" w:hAnsi="仿宋_GB2312" w:eastAsia="仿宋_GB2312" w:cs="仿宋_GB2312"/>
          <w:sz w:val="32"/>
          <w:szCs w:val="32"/>
          <w:lang w:eastAsia="zh-CN"/>
        </w:rPr>
        <w:t>文苑街以南、明德路以西地块</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（二）出让面积：55457.55</w:t>
      </w:r>
      <w:r>
        <w:rPr>
          <w:rFonts w:hint="eastAsia" w:ascii="仿宋_GB2312" w:hAnsi="仿宋_GB2312" w:eastAsia="仿宋_GB2312" w:cs="仿宋_GB2312"/>
          <w:kern w:val="0"/>
          <w:sz w:val="32"/>
          <w:szCs w:val="32"/>
        </w:rPr>
        <w:t>平方米（约</w:t>
      </w:r>
      <w:r>
        <w:rPr>
          <w:rFonts w:hint="eastAsia" w:ascii="仿宋_GB2312" w:hAnsi="仿宋_GB2312" w:eastAsia="仿宋_GB2312" w:cs="仿宋_GB2312"/>
          <w:kern w:val="0"/>
          <w:sz w:val="32"/>
          <w:szCs w:val="32"/>
          <w:lang w:val="en-US" w:eastAsia="zh-CN"/>
        </w:rPr>
        <w:t>83.19</w:t>
      </w:r>
      <w:r>
        <w:rPr>
          <w:rFonts w:hint="eastAsia" w:ascii="仿宋_GB2312" w:hAnsi="仿宋_GB2312" w:eastAsia="仿宋_GB2312" w:cs="仿宋_GB2312"/>
          <w:kern w:val="0"/>
          <w:sz w:val="32"/>
          <w:szCs w:val="32"/>
        </w:rPr>
        <w:t>亩）</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color w:val="000000" w:themeColor="text1"/>
          <w:kern w:val="2"/>
          <w:sz w:val="32"/>
          <w:szCs w:val="32"/>
          <w:highlight w:val="none"/>
          <w:vertAlign w:val="baseline"/>
          <w:lang w:val="en-US" w:eastAsia="zh-CN" w:bidi="ar"/>
          <w14:textFill>
            <w14:solidFill>
              <w14:schemeClr w14:val="tx1"/>
            </w14:solidFill>
          </w14:textFill>
        </w:rPr>
        <w:t>住宅兼商业用地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（四）使用年期：住宅70年、商业40年；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color w:val="000000" w:themeColor="text1"/>
          <w:kern w:val="2"/>
          <w:sz w:val="32"/>
          <w:szCs w:val="32"/>
          <w:highlight w:val="none"/>
          <w:vertAlign w:val="baseline"/>
          <w:lang w:val="en-US" w:eastAsia="zh-CN" w:bidi="ar"/>
          <w14:textFill>
            <w14:solidFill>
              <w14:schemeClr w14:val="tx1"/>
            </w14:solidFill>
          </w14:textFill>
        </w:rPr>
        <w:t>住宅、配套商业</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_GB2312" w:hAnsi="仿宋_GB2312" w:eastAsia="仿宋_GB2312" w:cs="仿宋_GB2312"/>
          <w:kern w:val="0"/>
          <w:sz w:val="32"/>
          <w:szCs w:val="32"/>
        </w:rPr>
        <w:t>≤</w:t>
      </w:r>
      <w:r>
        <w:rPr>
          <w:rFonts w:hint="eastAsia" w:ascii="仿宋_GB2312" w:hAnsi="仿宋_GB2312" w:eastAsia="仿宋_GB2312" w:cs="仿宋_GB2312"/>
          <w:snapToGrid w:val="0"/>
          <w:kern w:val="0"/>
          <w:sz w:val="32"/>
          <w:szCs w:val="32"/>
          <w:lang w:val="en-US" w:eastAsia="zh-CN"/>
        </w:rPr>
        <w:t>2.0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_GB2312" w:eastAsia="仿宋_GB2312"/>
          <w:kern w:val="0"/>
          <w:sz w:val="32"/>
          <w:szCs w:val="32"/>
        </w:rPr>
        <w:t>≤</w:t>
      </w:r>
      <w:r>
        <w:rPr>
          <w:rFonts w:hint="eastAsia" w:ascii="仿宋_GB2312" w:eastAsia="仿宋_GB2312"/>
          <w:kern w:val="0"/>
          <w:sz w:val="32"/>
          <w:szCs w:val="32"/>
          <w:lang w:val="en-US" w:eastAsia="zh-CN"/>
        </w:rPr>
        <w:t>54</w:t>
      </w:r>
      <w:r>
        <w:rPr>
          <w:rFonts w:hint="eastAsia" w:ascii="仿宋_GB2312" w:eastAsia="仿宋_GB2312"/>
          <w:kern w:val="0"/>
          <w:sz w:val="32"/>
          <w:szCs w:val="32"/>
        </w:rPr>
        <w:t>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_GB2312" w:eastAsia="仿宋_GB2312"/>
          <w:kern w:val="0"/>
          <w:sz w:val="32"/>
          <w:szCs w:val="32"/>
        </w:rPr>
        <w:t>≥</w:t>
      </w:r>
      <w:r>
        <w:rPr>
          <w:rFonts w:hint="eastAsia" w:ascii="仿宋_GB2312" w:eastAsia="仿宋_GB2312"/>
          <w:kern w:val="0"/>
          <w:sz w:val="32"/>
          <w:szCs w:val="32"/>
          <w:lang w:val="en-US" w:eastAsia="zh-CN"/>
        </w:rPr>
        <w:t>35</w:t>
      </w:r>
      <w:r>
        <w:rPr>
          <w:rFonts w:hint="eastAsia" w:ascii="仿宋_GB2312" w:eastAsia="仿宋_GB2312"/>
          <w:kern w:val="0"/>
          <w:sz w:val="32"/>
          <w:szCs w:val="32"/>
        </w:rPr>
        <w:t>%</w:t>
      </w:r>
      <w:r>
        <w:rPr>
          <w:rFonts w:hint="eastAsia" w:ascii="仿宋" w:hAnsi="仿宋" w:eastAsia="仿宋"/>
          <w:color w:val="000000" w:themeColor="text1"/>
          <w:sz w:val="32"/>
          <w:szCs w:val="32"/>
          <w14:textFill>
            <w14:solidFill>
              <w14:schemeClr w14:val="tx1"/>
            </w14:solidFill>
          </w14:textFill>
        </w:rPr>
        <w:t>；</w:t>
      </w:r>
    </w:p>
    <w:p>
      <w:pPr>
        <w:autoSpaceDE w:val="0"/>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密度</w:t>
      </w:r>
      <w:r>
        <w:rPr>
          <w:rFonts w:hint="eastAsia" w:ascii="仿宋" w:hAnsi="仿宋" w:eastAsia="仿宋" w:cs="仿宋"/>
          <w:color w:val="000000" w:themeColor="text1"/>
          <w:sz w:val="32"/>
          <w:szCs w:val="32"/>
          <w14:textFill>
            <w14:solidFill>
              <w14:schemeClr w14:val="tx1"/>
            </w14:solidFill>
          </w14:textFill>
        </w:rPr>
        <w:t>：</w:t>
      </w:r>
      <w:r>
        <w:rPr>
          <w:rFonts w:hint="eastAsia" w:ascii="仿宋_GB2312" w:eastAsia="仿宋_GB2312"/>
          <w:sz w:val="32"/>
          <w:szCs w:val="32"/>
        </w:rPr>
        <w:t>≤</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rPr>
          <w:rFonts w:ascii="仿宋_GB2312" w:hAnsi="仿宋_GB2312" w:eastAsia="仿宋_GB2312" w:cs="仿宋_GB2312"/>
          <w:snapToGrid w:val="0"/>
          <w:kern w:val="0"/>
          <w:sz w:val="32"/>
          <w:szCs w:val="32"/>
          <w:highlight w:val="yellow"/>
        </w:rPr>
      </w:pPr>
      <w:r>
        <w:rPr>
          <w:rFonts w:hint="eastAsia" w:ascii="仿宋_GB2312" w:hAnsi="仿宋_GB2312" w:eastAsia="仿宋_GB2312" w:cs="仿宋_GB2312"/>
          <w:snapToGrid w:val="0"/>
          <w:kern w:val="0"/>
          <w:sz w:val="32"/>
          <w:szCs w:val="32"/>
          <w:highlight w:val="none"/>
          <w:lang w:eastAsia="zh-CN"/>
        </w:rPr>
        <w:t>（十一）</w:t>
      </w:r>
      <w:r>
        <w:rPr>
          <w:rFonts w:hint="eastAsia" w:ascii="仿宋_GB2312" w:hAnsi="仿宋_GB2312" w:eastAsia="仿宋_GB2312" w:cs="仿宋_GB2312"/>
          <w:snapToGrid w:val="0"/>
          <w:kern w:val="0"/>
          <w:sz w:val="32"/>
          <w:szCs w:val="32"/>
          <w:highlight w:val="none"/>
        </w:rPr>
        <w:t>建筑退线要求：文苑街</w:t>
      </w:r>
      <w:r>
        <w:rPr>
          <w:rFonts w:hint="eastAsia" w:ascii="仿宋_GB2312" w:hAnsi="仿宋_GB2312" w:eastAsia="仿宋_GB2312" w:cs="仿宋_GB2312"/>
          <w:snapToGrid w:val="0"/>
          <w:kern w:val="0"/>
          <w:sz w:val="32"/>
          <w:szCs w:val="32"/>
          <w:highlight w:val="none"/>
          <w:lang w:eastAsia="zh-CN"/>
        </w:rPr>
        <w:t>、</w:t>
      </w:r>
      <w:r>
        <w:rPr>
          <w:rFonts w:hint="eastAsia" w:ascii="仿宋_GB2312" w:hAnsi="仿宋_GB2312" w:eastAsia="仿宋_GB2312" w:cs="仿宋_GB2312"/>
          <w:snapToGrid w:val="0"/>
          <w:kern w:val="0"/>
          <w:sz w:val="32"/>
          <w:szCs w:val="32"/>
          <w:highlight w:val="none"/>
        </w:rPr>
        <w:t>明德路低多层建筑退线不小于6米，高层建筑退线不小于12米；海河路低多层建筑退线不小于</w:t>
      </w:r>
      <w:r>
        <w:rPr>
          <w:rFonts w:hint="eastAsia" w:ascii="仿宋_GB2312" w:hAnsi="仿宋_GB2312" w:eastAsia="仿宋_GB2312" w:cs="仿宋_GB2312"/>
          <w:snapToGrid w:val="0"/>
          <w:kern w:val="0"/>
          <w:sz w:val="32"/>
          <w:szCs w:val="32"/>
          <w:highlight w:val="none"/>
          <w:lang w:val="en-US" w:eastAsia="zh-CN"/>
        </w:rPr>
        <w:t>4.5</w:t>
      </w:r>
      <w:r>
        <w:rPr>
          <w:rFonts w:hint="eastAsia" w:ascii="仿宋_GB2312" w:hAnsi="仿宋_GB2312" w:eastAsia="仿宋_GB2312" w:cs="仿宋_GB2312"/>
          <w:snapToGrid w:val="0"/>
          <w:kern w:val="0"/>
          <w:sz w:val="32"/>
          <w:szCs w:val="32"/>
          <w:highlight w:val="none"/>
        </w:rPr>
        <w:t>米，高层建筑退线不小于8米；文苑街与明德路交叉口和文苑街与海河路交叉口低多层建筑退线不小于9米，高层建筑退线不小于15米。</w:t>
      </w:r>
      <w:r>
        <w:rPr>
          <w:rFonts w:hint="eastAsia" w:ascii="仿宋_GB2312" w:hAnsi="仿宋_GB2312" w:eastAsia="仿宋_GB2312" w:cs="仿宋_GB2312"/>
          <w:snapToGrid w:val="0"/>
          <w:kern w:val="0"/>
          <w:sz w:val="32"/>
          <w:szCs w:val="32"/>
          <w:highlight w:val="none"/>
          <w:lang w:eastAsia="zh-CN"/>
        </w:rPr>
        <w:t>南</w:t>
      </w:r>
      <w:r>
        <w:rPr>
          <w:rFonts w:hint="eastAsia" w:ascii="仿宋_GB2312" w:hAnsi="仿宋_GB2312" w:eastAsia="仿宋_GB2312" w:cs="仿宋_GB2312"/>
          <w:snapToGrid w:val="0"/>
          <w:kern w:val="0"/>
          <w:sz w:val="32"/>
          <w:szCs w:val="32"/>
          <w:highlight w:val="none"/>
        </w:rPr>
        <w:t>侧</w:t>
      </w:r>
      <w:r>
        <w:rPr>
          <w:rFonts w:hint="eastAsia" w:ascii="仿宋_GB2312" w:hAnsi="仿宋_GB2312" w:eastAsia="仿宋_GB2312" w:cs="仿宋_GB2312"/>
          <w:snapToGrid w:val="0"/>
          <w:kern w:val="0"/>
          <w:sz w:val="32"/>
          <w:szCs w:val="32"/>
          <w:highlight w:val="none"/>
          <w:lang w:eastAsia="zh-CN"/>
        </w:rPr>
        <w:t>商业用地建筑限高为</w:t>
      </w:r>
      <w:r>
        <w:rPr>
          <w:rFonts w:hint="eastAsia" w:ascii="仿宋_GB2312" w:hAnsi="仿宋_GB2312" w:eastAsia="仿宋_GB2312" w:cs="仿宋_GB2312"/>
          <w:snapToGrid w:val="0"/>
          <w:kern w:val="0"/>
          <w:sz w:val="32"/>
          <w:szCs w:val="32"/>
          <w:highlight w:val="none"/>
          <w:lang w:val="en-US" w:eastAsia="zh-CN"/>
        </w:rPr>
        <w:t>80米，</w:t>
      </w:r>
      <w:r>
        <w:rPr>
          <w:rFonts w:hint="eastAsia" w:ascii="仿宋_GB2312" w:hAnsi="仿宋_GB2312" w:eastAsia="仿宋_GB2312" w:cs="仿宋_GB2312"/>
          <w:snapToGrid w:val="0"/>
          <w:kern w:val="0"/>
          <w:sz w:val="32"/>
          <w:szCs w:val="32"/>
          <w:highlight w:val="none"/>
          <w:lang w:eastAsia="zh-CN"/>
        </w:rPr>
        <w:t>建筑退线满足本地块住宅建筑大寒日</w:t>
      </w:r>
      <w:r>
        <w:rPr>
          <w:rFonts w:hint="eastAsia" w:ascii="仿宋_GB2312" w:hAnsi="仿宋_GB2312" w:eastAsia="仿宋_GB2312" w:cs="仿宋_GB2312"/>
          <w:snapToGrid w:val="0"/>
          <w:kern w:val="0"/>
          <w:sz w:val="32"/>
          <w:szCs w:val="32"/>
          <w:highlight w:val="none"/>
          <w:lang w:val="en-US" w:eastAsia="zh-CN"/>
        </w:rPr>
        <w:t>3小时</w:t>
      </w:r>
      <w:r>
        <w:rPr>
          <w:rFonts w:hint="eastAsia" w:ascii="仿宋_GB2312" w:hAnsi="仿宋_GB2312" w:eastAsia="仿宋_GB2312" w:cs="仿宋_GB2312"/>
          <w:snapToGrid w:val="0"/>
          <w:kern w:val="0"/>
          <w:sz w:val="32"/>
          <w:szCs w:val="32"/>
          <w:highlight w:val="none"/>
          <w:lang w:eastAsia="zh-CN"/>
        </w:rPr>
        <w:t>日照的</w:t>
      </w:r>
      <w:r>
        <w:rPr>
          <w:rFonts w:hint="eastAsia" w:ascii="仿宋_GB2312" w:hAnsi="仿宋_GB2312" w:eastAsia="仿宋_GB2312" w:cs="仿宋_GB2312"/>
          <w:snapToGrid w:val="0"/>
          <w:kern w:val="0"/>
          <w:sz w:val="32"/>
          <w:szCs w:val="32"/>
          <w:highlight w:val="none"/>
        </w:rPr>
        <w:t>半间距</w:t>
      </w:r>
      <w:r>
        <w:rPr>
          <w:rFonts w:hint="eastAsia" w:ascii="仿宋_GB2312" w:hAnsi="仿宋_GB2312" w:eastAsia="仿宋_GB2312" w:cs="仿宋_GB2312"/>
          <w:snapToGrid w:val="0"/>
          <w:kern w:val="0"/>
          <w:sz w:val="32"/>
          <w:szCs w:val="32"/>
          <w:highlight w:val="none"/>
          <w:lang w:eastAsia="zh-CN"/>
        </w:rPr>
        <w:t>要求。</w:t>
      </w:r>
    </w:p>
    <w:p>
      <w:pPr>
        <w:spacing w:line="600" w:lineRule="exact"/>
        <w:ind w:firstLine="640" w:firstLineChars="200"/>
        <w:textAlignment w:val="baseline"/>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eastAsia="zh-CN"/>
        </w:rPr>
        <w:t>（十二）</w:t>
      </w:r>
      <w:r>
        <w:rPr>
          <w:rFonts w:hint="eastAsia" w:ascii="仿宋_GB2312" w:hAnsi="仿宋_GB2312" w:eastAsia="仿宋_GB2312" w:cs="仿宋_GB2312"/>
          <w:snapToGrid w:val="0"/>
          <w:kern w:val="0"/>
          <w:sz w:val="32"/>
          <w:szCs w:val="32"/>
          <w:highlight w:val="none"/>
        </w:rPr>
        <w:t>日照要求：该地块住宅建筑必须满足大寒日3小时的日照标准，并不得对周边地块的交通组织及住宅建筑的日照产生影响。</w:t>
      </w:r>
    </w:p>
    <w:p>
      <w:pPr>
        <w:spacing w:line="600" w:lineRule="exact"/>
        <w:ind w:firstLine="640" w:firstLineChars="200"/>
        <w:textAlignment w:val="baseline"/>
        <w:rPr>
          <w:highlight w:val="none"/>
        </w:rPr>
      </w:pPr>
      <w:r>
        <w:rPr>
          <w:rFonts w:hint="eastAsia" w:ascii="仿宋_GB2312" w:hAnsi="仿宋_GB2312" w:eastAsia="仿宋_GB2312" w:cs="仿宋_GB2312"/>
          <w:snapToGrid w:val="0"/>
          <w:kern w:val="0"/>
          <w:sz w:val="32"/>
          <w:szCs w:val="32"/>
          <w:highlight w:val="none"/>
          <w:lang w:eastAsia="zh-CN"/>
        </w:rPr>
        <w:t>（十三）</w:t>
      </w:r>
      <w:r>
        <w:rPr>
          <w:rFonts w:hint="eastAsia" w:ascii="仿宋_GB2312" w:eastAsia="仿宋_GB2312"/>
          <w:kern w:val="0"/>
          <w:sz w:val="32"/>
          <w:szCs w:val="32"/>
          <w:highlight w:val="none"/>
        </w:rPr>
        <w:t>停车泊位：</w:t>
      </w:r>
      <w:r>
        <w:rPr>
          <w:rFonts w:hint="eastAsia" w:ascii="仿宋_GB2312" w:hAnsi="仿宋_GB2312" w:eastAsia="仿宋_GB2312" w:cs="仿宋_GB2312"/>
          <w:snapToGrid w:val="0"/>
          <w:kern w:val="0"/>
          <w:sz w:val="32"/>
          <w:szCs w:val="32"/>
          <w:highlight w:val="none"/>
        </w:rPr>
        <w:t>住宅停车位按1个/户计算，商业停车位按0.8个/100 m</w:t>
      </w:r>
      <w:r>
        <w:rPr>
          <w:rFonts w:hint="eastAsia" w:ascii="仿宋_GB2312" w:hAnsi="仿宋_GB2312" w:eastAsia="仿宋_GB2312" w:cs="仿宋_GB2312"/>
          <w:snapToGrid w:val="0"/>
          <w:kern w:val="0"/>
          <w:sz w:val="32"/>
          <w:szCs w:val="32"/>
          <w:highlight w:val="none"/>
          <w:vertAlign w:val="superscript"/>
        </w:rPr>
        <w:t>2</w:t>
      </w:r>
      <w:r>
        <w:rPr>
          <w:rFonts w:hint="eastAsia" w:ascii="仿宋_GB2312" w:hAnsi="仿宋_GB2312" w:eastAsia="仿宋_GB2312" w:cs="仿宋_GB2312"/>
          <w:snapToGrid w:val="0"/>
          <w:kern w:val="0"/>
          <w:sz w:val="32"/>
          <w:szCs w:val="32"/>
          <w:highlight w:val="none"/>
        </w:rPr>
        <w:t>建筑面积计算，公建配套停车位按0.8个/100 m</w:t>
      </w:r>
      <w:r>
        <w:rPr>
          <w:rFonts w:hint="eastAsia" w:ascii="仿宋_GB2312" w:hAnsi="仿宋_GB2312" w:eastAsia="仿宋_GB2312" w:cs="仿宋_GB2312"/>
          <w:snapToGrid w:val="0"/>
          <w:kern w:val="0"/>
          <w:sz w:val="32"/>
          <w:szCs w:val="32"/>
          <w:highlight w:val="none"/>
          <w:vertAlign w:val="superscript"/>
        </w:rPr>
        <w:t>2</w:t>
      </w:r>
      <w:r>
        <w:rPr>
          <w:rFonts w:hint="eastAsia" w:ascii="仿宋_GB2312" w:hAnsi="仿宋_GB2312" w:eastAsia="仿宋_GB2312" w:cs="仿宋_GB2312"/>
          <w:snapToGrid w:val="0"/>
          <w:kern w:val="0"/>
          <w:sz w:val="32"/>
          <w:szCs w:val="32"/>
          <w:highlight w:val="none"/>
        </w:rPr>
        <w:t>建筑面积计算。以地下停车场为主，地面停车数量不宜超过住宅总套数的10%，地下空间可作为地下停车使用，不得改为其他用途，应</w:t>
      </w:r>
      <w:r>
        <w:rPr>
          <w:rFonts w:hint="eastAsia" w:ascii="仿宋_GB2312" w:hAnsi="仿宋_GB2312" w:eastAsia="仿宋_GB2312" w:cs="仿宋_GB2312"/>
          <w:snapToGrid w:val="0"/>
          <w:kern w:val="0"/>
          <w:sz w:val="32"/>
          <w:szCs w:val="32"/>
          <w:highlight w:val="none"/>
          <w:lang w:val="en-US" w:eastAsia="zh-CN"/>
        </w:rPr>
        <w:t>100%</w:t>
      </w:r>
      <w:r>
        <w:rPr>
          <w:rFonts w:hint="eastAsia" w:ascii="仿宋_GB2312" w:hAnsi="仿宋_GB2312" w:eastAsia="仿宋_GB2312" w:cs="仿宋_GB2312"/>
          <w:snapToGrid w:val="0"/>
          <w:kern w:val="0"/>
          <w:sz w:val="32"/>
          <w:szCs w:val="32"/>
          <w:highlight w:val="none"/>
        </w:rPr>
        <w:t>具备充电基础设施安装条件。</w:t>
      </w:r>
    </w:p>
    <w:p>
      <w:pPr>
        <w:ind w:firstLine="640" w:firstLineChars="200"/>
        <w:rPr>
          <w:rFonts w:ascii="仿宋_GB2312" w:eastAsia="仿宋_GB2312"/>
          <w:sz w:val="32"/>
          <w:szCs w:val="32"/>
          <w:highlight w:val="none"/>
        </w:rPr>
      </w:pPr>
      <w:r>
        <w:rPr>
          <w:rFonts w:hint="eastAsia" w:ascii="仿宋_GB2312" w:hAnsi="仿宋_GB2312" w:eastAsia="仿宋_GB2312" w:cs="仿宋_GB2312"/>
          <w:snapToGrid w:val="0"/>
          <w:kern w:val="0"/>
          <w:sz w:val="32"/>
          <w:szCs w:val="32"/>
          <w:highlight w:val="none"/>
          <w:lang w:eastAsia="zh-CN"/>
        </w:rPr>
        <w:t>（十四）</w:t>
      </w:r>
      <w:r>
        <w:rPr>
          <w:rFonts w:hint="eastAsia" w:ascii="仿宋_GB2312" w:hAnsi="仿宋_GB2312" w:eastAsia="仿宋_GB2312" w:cs="仿宋_GB2312"/>
          <w:snapToGrid w:val="0"/>
          <w:kern w:val="0"/>
          <w:sz w:val="32"/>
          <w:szCs w:val="32"/>
          <w:highlight w:val="none"/>
        </w:rPr>
        <w:t>出入口方位：车行交通出入口宜设置在用地范围</w:t>
      </w:r>
      <w:r>
        <w:rPr>
          <w:rFonts w:hint="eastAsia" w:ascii="仿宋_GB2312" w:hAnsi="仿宋_GB2312" w:eastAsia="仿宋_GB2312" w:cs="仿宋_GB2312"/>
          <w:snapToGrid w:val="0"/>
          <w:kern w:val="0"/>
          <w:sz w:val="32"/>
          <w:szCs w:val="32"/>
          <w:highlight w:val="none"/>
          <w:lang w:eastAsia="zh-CN"/>
        </w:rPr>
        <w:t>西</w:t>
      </w:r>
      <w:r>
        <w:rPr>
          <w:rFonts w:hint="eastAsia" w:ascii="仿宋_GB2312" w:hAnsi="仿宋_GB2312" w:eastAsia="仿宋_GB2312" w:cs="仿宋_GB2312"/>
          <w:snapToGrid w:val="0"/>
          <w:kern w:val="0"/>
          <w:sz w:val="32"/>
          <w:szCs w:val="32"/>
          <w:highlight w:val="none"/>
        </w:rPr>
        <w:t>侧（海河路）、</w:t>
      </w:r>
      <w:r>
        <w:rPr>
          <w:rFonts w:hint="eastAsia" w:ascii="仿宋_GB2312" w:hAnsi="仿宋_GB2312" w:eastAsia="仿宋_GB2312" w:cs="仿宋_GB2312"/>
          <w:snapToGrid w:val="0"/>
          <w:kern w:val="0"/>
          <w:sz w:val="32"/>
          <w:szCs w:val="32"/>
          <w:highlight w:val="none"/>
          <w:lang w:eastAsia="zh-CN"/>
        </w:rPr>
        <w:t>东</w:t>
      </w:r>
      <w:r>
        <w:rPr>
          <w:rFonts w:hint="eastAsia" w:ascii="仿宋_GB2312" w:hAnsi="仿宋_GB2312" w:eastAsia="仿宋_GB2312" w:cs="仿宋_GB2312"/>
          <w:snapToGrid w:val="0"/>
          <w:kern w:val="0"/>
          <w:sz w:val="32"/>
          <w:szCs w:val="32"/>
          <w:highlight w:val="none"/>
        </w:rPr>
        <w:t>侧（明德路）和北侧（文苑街）。</w:t>
      </w:r>
    </w:p>
    <w:p>
      <w:pPr>
        <w:autoSpaceDE w:val="0"/>
        <w:spacing w:line="600" w:lineRule="exact"/>
        <w:ind w:firstLine="640" w:firstLineChars="200"/>
        <w:textAlignment w:val="baseline"/>
        <w:rPr>
          <w:rFonts w:ascii="仿宋_GB2312" w:eastAsia="仿宋_GB2312"/>
          <w:kern w:val="0"/>
          <w:sz w:val="32"/>
          <w:szCs w:val="32"/>
          <w:highlight w:val="none"/>
        </w:rPr>
      </w:pPr>
      <w:r>
        <w:rPr>
          <w:rFonts w:hint="eastAsia" w:ascii="仿宋_GB2312" w:eastAsia="仿宋_GB2312"/>
          <w:kern w:val="0"/>
          <w:sz w:val="32"/>
          <w:szCs w:val="32"/>
          <w:highlight w:val="none"/>
          <w:lang w:eastAsia="zh-CN"/>
        </w:rPr>
        <w:t>（十五）</w:t>
      </w:r>
      <w:r>
        <w:rPr>
          <w:rFonts w:hint="eastAsia" w:ascii="仿宋_GB2312" w:eastAsia="仿宋_GB2312"/>
          <w:kern w:val="0"/>
          <w:sz w:val="32"/>
          <w:szCs w:val="32"/>
          <w:highlight w:val="none"/>
        </w:rPr>
        <w:t>公共服务设施、基础设施配套要求：</w:t>
      </w:r>
      <w:r>
        <w:rPr>
          <w:rFonts w:hint="eastAsia" w:ascii="仿宋_GB2312" w:eastAsia="仿宋_GB2312"/>
          <w:sz w:val="32"/>
          <w:szCs w:val="32"/>
          <w:highlight w:val="none"/>
        </w:rPr>
        <w:t>配建设施标准按国家有关规范，参照《城市居住区规划设计标准》（GB50180--2018）居住街坊进行配置。</w:t>
      </w:r>
    </w:p>
    <w:p>
      <w:pPr>
        <w:autoSpaceDE w:val="0"/>
        <w:ind w:firstLine="640" w:firstLineChars="200"/>
        <w:rPr>
          <w:rFonts w:hint="eastAsia" w:ascii="仿宋_GB2312" w:eastAsia="仿宋_GB2312"/>
          <w:kern w:val="0"/>
          <w:sz w:val="32"/>
          <w:szCs w:val="32"/>
          <w:highlight w:val="none"/>
        </w:rPr>
      </w:pPr>
      <w:r>
        <w:rPr>
          <w:rFonts w:hint="eastAsia" w:ascii="仿宋_GB2312" w:eastAsia="仿宋_GB2312"/>
          <w:kern w:val="0"/>
          <w:sz w:val="32"/>
          <w:szCs w:val="32"/>
          <w:highlight w:val="none"/>
          <w:lang w:eastAsia="zh-CN"/>
        </w:rPr>
        <w:t>（十六）</w:t>
      </w:r>
      <w:r>
        <w:rPr>
          <w:rFonts w:hint="eastAsia" w:ascii="仿宋_GB2312" w:eastAsia="仿宋_GB2312"/>
          <w:kern w:val="0"/>
          <w:sz w:val="32"/>
          <w:szCs w:val="32"/>
          <w:highlight w:val="none"/>
        </w:rPr>
        <w:t>竖向设计要求：</w:t>
      </w:r>
      <w:r>
        <w:rPr>
          <w:rFonts w:hint="eastAsia" w:ascii="仿宋_GB2312" w:eastAsia="仿宋_GB2312"/>
          <w:sz w:val="32"/>
          <w:szCs w:val="32"/>
          <w:highlight w:val="none"/>
          <w:lang w:eastAsia="zh-CN"/>
        </w:rPr>
        <w:t>参照四周道路规划标高、坡度设计确定。满足该地块内雨水的排放，且不得影响周围用地的使用。</w:t>
      </w:r>
    </w:p>
    <w:p>
      <w:pPr>
        <w:autoSpaceDE w:val="0"/>
        <w:ind w:firstLine="640" w:firstLineChars="200"/>
        <w:rPr>
          <w:rFonts w:hint="eastAsia" w:ascii="仿宋_GB2312" w:eastAsia="仿宋_GB2312"/>
          <w:kern w:val="0"/>
          <w:sz w:val="32"/>
          <w:szCs w:val="32"/>
          <w:highlight w:val="none"/>
        </w:rPr>
      </w:pPr>
      <w:r>
        <w:rPr>
          <w:rFonts w:hint="eastAsia" w:ascii="仿宋_GB2312" w:eastAsia="仿宋_GB2312"/>
          <w:kern w:val="0"/>
          <w:sz w:val="32"/>
          <w:szCs w:val="32"/>
          <w:highlight w:val="none"/>
          <w:lang w:eastAsia="zh-CN"/>
        </w:rPr>
        <w:t>（十七）</w:t>
      </w:r>
      <w:r>
        <w:rPr>
          <w:rFonts w:hint="eastAsia" w:ascii="仿宋_GB2312" w:eastAsia="仿宋_GB2312"/>
          <w:kern w:val="0"/>
          <w:sz w:val="32"/>
          <w:szCs w:val="32"/>
          <w:highlight w:val="none"/>
        </w:rPr>
        <w:t>地下空间要求：</w:t>
      </w:r>
      <w:r>
        <w:rPr>
          <w:rFonts w:hint="eastAsia" w:ascii="仿宋_GB2312" w:eastAsia="仿宋_GB2312"/>
          <w:sz w:val="32"/>
          <w:szCs w:val="32"/>
          <w:highlight w:val="none"/>
          <w:lang w:eastAsia="zh-CN"/>
        </w:rPr>
        <w:t>地下空间的使用功能应以停车、设备和人防为主。需符合规范要求。</w:t>
      </w:r>
    </w:p>
    <w:p>
      <w:pPr>
        <w:ind w:firstLine="640" w:firstLineChars="200"/>
        <w:rPr>
          <w:rFonts w:hint="eastAsia" w:ascii="仿宋_GB2312" w:eastAsia="仿宋_GB2312"/>
          <w:kern w:val="0"/>
          <w:sz w:val="32"/>
          <w:szCs w:val="32"/>
          <w:highlight w:val="none"/>
        </w:rPr>
      </w:pPr>
      <w:r>
        <w:rPr>
          <w:rFonts w:hint="eastAsia" w:ascii="仿宋_GB2312" w:eastAsia="仿宋_GB2312"/>
          <w:kern w:val="0"/>
          <w:sz w:val="32"/>
          <w:szCs w:val="32"/>
          <w:highlight w:val="none"/>
          <w:lang w:eastAsia="zh-CN"/>
        </w:rPr>
        <w:t>（十八）</w:t>
      </w:r>
      <w:r>
        <w:rPr>
          <w:rFonts w:hint="eastAsia" w:ascii="仿宋_GB2312" w:eastAsia="仿宋_GB2312"/>
          <w:kern w:val="0"/>
          <w:sz w:val="32"/>
          <w:szCs w:val="32"/>
          <w:highlight w:val="none"/>
        </w:rPr>
        <w:t>建筑设计要求（建筑造型、风格、色彩、外饰材料等）：</w:t>
      </w:r>
      <w:r>
        <w:rPr>
          <w:rFonts w:hint="eastAsia" w:ascii="仿宋_GB2312" w:eastAsia="仿宋_GB2312"/>
          <w:sz w:val="32"/>
          <w:szCs w:val="32"/>
          <w:highlight w:val="none"/>
        </w:rPr>
        <w:t>中央公园界面沿街住宅用地可适当布置点式高层住宅，形成通透的高层建筑景观。沿街宜形成比例、尺度、色彩等协调统一的建筑立面；宜通过重要建筑以及街灯的夜景照明设计，形成连续的夜景效果。注重城市第五立面塑造，建筑造型宜采用现代风格，居住建筑以平顶建筑为主，与周边协调统一，沿街建筑立面和高层建筑顶部造型丰富，并作夜景亮化。（具体以规委会通过的设计方案为准）。</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四、竞买资格及要求</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证明。</w:t>
      </w:r>
    </w:p>
    <w:p>
      <w:pPr>
        <w:spacing w:line="540" w:lineRule="exact"/>
        <w:ind w:left="0" w:firstLine="640" w:firstLineChars="200"/>
        <w:rPr>
          <w:rFonts w:ascii="仿宋" w:hAnsi="仿宋" w:eastAsia="仿宋"/>
          <w:color w:val="000000" w:themeColor="text1"/>
          <w:sz w:val="32"/>
          <w:szCs w:val="32"/>
          <w:highlight w:val="yellow"/>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交纳竞买保证金的截</w:t>
      </w:r>
      <w:r>
        <w:rPr>
          <w:rFonts w:hint="eastAsia" w:ascii="仿宋" w:hAnsi="仿宋" w:eastAsia="仿宋"/>
          <w:color w:val="auto"/>
          <w:sz w:val="32"/>
          <w:szCs w:val="32"/>
        </w:rPr>
        <w:t>止时间为</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25</w:t>
      </w:r>
      <w:r>
        <w:rPr>
          <w:rFonts w:hint="eastAsia" w:ascii="仿宋" w:hAnsi="仿宋" w:eastAsia="仿宋"/>
          <w:color w:val="auto"/>
          <w:sz w:val="32"/>
          <w:szCs w:val="32"/>
          <w:highlight w:val="none"/>
        </w:rPr>
        <w:t>日16：00时。</w:t>
      </w:r>
    </w:p>
    <w:p>
      <w:pPr>
        <w:spacing w:line="540"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地块竞买保证金为：</w:t>
      </w:r>
    </w:p>
    <w:p>
      <w:pPr>
        <w:spacing w:line="540" w:lineRule="exact"/>
        <w:ind w:left="0" w:firstLine="640" w:firstLineChars="200"/>
        <w:rPr>
          <w:rFonts w:hint="eastAsia"/>
          <w:lang w:eastAsia="zh-CN"/>
        </w:rPr>
      </w:pPr>
      <w:r>
        <w:rPr>
          <w:rFonts w:hint="eastAsia" w:ascii="仿宋" w:hAnsi="仿宋" w:eastAsia="仿宋"/>
          <w:color w:val="000000" w:themeColor="text1"/>
          <w:sz w:val="32"/>
          <w:szCs w:val="32"/>
          <w:lang w:val="en-US" w:eastAsia="zh-CN"/>
          <w14:textFill>
            <w14:solidFill>
              <w14:schemeClr w14:val="tx1"/>
            </w14:solidFill>
          </w14:textFill>
        </w:rPr>
        <w:t>地块一：8543.2356</w:t>
      </w:r>
      <w:r>
        <w:rPr>
          <w:rFonts w:hint="default" w:ascii="Times New Roman" w:hAnsi="Times New Roman" w:eastAsia="仿宋_GB2312"/>
          <w:b w:val="0"/>
          <w:bCs w:val="0"/>
          <w:color w:val="000000" w:themeColor="text1"/>
          <w:sz w:val="32"/>
          <w:szCs w:val="32"/>
          <w:lang w:val="en-US" w:eastAsia="zh-CN"/>
          <w14:textFill>
            <w14:solidFill>
              <w14:schemeClr w14:val="tx1"/>
            </w14:solidFill>
          </w14:textFill>
        </w:rPr>
        <w:t>万元</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w:t>
      </w:r>
      <w:r>
        <w:rPr>
          <w:rFonts w:hint="eastAsia" w:eastAsia="仿宋_GB2312"/>
          <w:b w:val="0"/>
          <w:bCs w:val="0"/>
          <w:color w:val="000000" w:themeColor="text1"/>
          <w:sz w:val="32"/>
          <w:szCs w:val="32"/>
          <w:lang w:eastAsia="zh-CN"/>
          <w14:textFill>
            <w14:solidFill>
              <w14:schemeClr w14:val="tx1"/>
            </w14:solidFill>
          </w14:textFill>
        </w:rPr>
        <w:t>捌仟伍佰肆拾叁万贰仟叁佰伍拾陆元整</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w:t>
      </w:r>
      <w:r>
        <w:rPr>
          <w:rFonts w:hint="eastAsia" w:eastAsia="仿宋_GB2312"/>
          <w:b w:val="0"/>
          <w:bCs w:val="0"/>
          <w:color w:val="000000" w:themeColor="text1"/>
          <w:sz w:val="32"/>
          <w:szCs w:val="32"/>
          <w:lang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宗地的挂牌起始价</w:t>
      </w:r>
      <w:r>
        <w:rPr>
          <w:rFonts w:hint="eastAsia" w:ascii="仿宋" w:hAnsi="仿宋" w:eastAsia="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地块一：17086.4712</w:t>
      </w:r>
      <w:r>
        <w:rPr>
          <w:rFonts w:hint="default" w:ascii="Times New Roman" w:hAnsi="Times New Roman" w:eastAsia="仿宋_GB2312"/>
          <w:b w:val="0"/>
          <w:bCs w:val="0"/>
          <w:color w:val="000000" w:themeColor="text1"/>
          <w:sz w:val="32"/>
          <w:szCs w:val="32"/>
          <w:lang w:val="en-US" w:eastAsia="zh-CN"/>
          <w14:textFill>
            <w14:solidFill>
              <w14:schemeClr w14:val="tx1"/>
            </w14:solidFill>
          </w14:textFill>
        </w:rPr>
        <w:t>万元</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w:t>
      </w:r>
      <w:r>
        <w:rPr>
          <w:rFonts w:hint="eastAsia" w:eastAsia="仿宋_GB2312"/>
          <w:b w:val="0"/>
          <w:bCs w:val="0"/>
          <w:color w:val="000000" w:themeColor="text1"/>
          <w:sz w:val="32"/>
          <w:szCs w:val="32"/>
          <w:lang w:eastAsia="zh-CN"/>
          <w14:textFill>
            <w14:solidFill>
              <w14:schemeClr w14:val="tx1"/>
            </w14:solidFill>
          </w14:textFill>
        </w:rPr>
        <w:t>壹亿柒仟零捌拾陆万肆仟柒佰壹拾贰元整</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五、网上竞买申请流程</w:t>
      </w:r>
      <w:r>
        <w:rPr>
          <w:rFonts w:hint="eastAsia" w:ascii="仿宋" w:hAnsi="仿宋" w:eastAsia="仿宋"/>
          <w:color w:val="000000" w:themeColor="text1"/>
          <w:sz w:val="32"/>
          <w:szCs w:val="32"/>
          <w14:textFill>
            <w14:solidFill>
              <w14:schemeClr w14:val="tx1"/>
            </w14:solidFill>
          </w14:textFill>
        </w:rPr>
        <w:tab/>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（一）</w:t>
      </w:r>
      <w:r>
        <w:rPr>
          <w:rFonts w:hint="eastAsia" w:ascii="仿宋" w:hAnsi="仿宋" w:eastAsia="仿宋" w:cs="FangSong_GB2312"/>
          <w:bCs/>
          <w:color w:val="000000" w:themeColor="text1"/>
          <w:sz w:val="32"/>
          <w:szCs w:val="32"/>
          <w14:textFill>
            <w14:solidFill>
              <w14:schemeClr w14:val="tx1"/>
            </w14:solidFill>
          </w14:textFill>
        </w:rPr>
        <w:t>CA数字证书的获取及绑定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1、获取方式</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竞买人在报名期内登录“内蒙古自治区国土资源网上交易系统”使用CA证书获取预申购资源的竞买申请书。CA证书的办理流程详见乌海市公共资源交易中心网站办事指南中CA办理指南。</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2、CA数字证书驱动下载及系统绑定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（1）在计算机上插入</w:t>
      </w:r>
      <w:r>
        <w:rPr>
          <w:rStyle w:val="18"/>
          <w:rFonts w:hint="eastAsia" w:ascii="仿宋" w:hAnsi="仿宋" w:eastAsia="仿宋"/>
          <w:b w:val="0"/>
          <w:color w:val="000000" w:themeColor="text1"/>
          <w:sz w:val="32"/>
          <w:szCs w:val="32"/>
          <w14:textFill>
            <w14:solidFill>
              <w14:schemeClr w14:val="tx1"/>
            </w14:solidFill>
          </w14:textFill>
        </w:rPr>
        <w:t>CA数字证书</w:t>
      </w:r>
      <w:r>
        <w:rPr>
          <w:rFonts w:hint="eastAsia" w:ascii="仿宋" w:hAnsi="仿宋" w:eastAsia="仿宋"/>
          <w:color w:val="000000" w:themeColor="text1"/>
          <w:sz w:val="32"/>
          <w:szCs w:val="32"/>
          <w14:textFill>
            <w14:solidFill>
              <w14:schemeClr w14:val="tx1"/>
            </w14:solidFill>
          </w14:textFill>
        </w:rPr>
        <w:t>，打开IE浏览器输入网址：http://110.16.70.81:8090/trade-engine/trade/index进入内蒙古自治区国土资源交易系统首页（IE浏览器版本不得低于IE10）；</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（2）点击“服务中心”，进入资料下载列表，在此可下载</w:t>
      </w:r>
      <w:r>
        <w:rPr>
          <w:rStyle w:val="18"/>
          <w:rFonts w:hint="eastAsia" w:ascii="仿宋" w:hAnsi="仿宋" w:eastAsia="仿宋"/>
          <w:b w:val="0"/>
          <w:color w:val="000000" w:themeColor="text1"/>
          <w:sz w:val="32"/>
          <w:szCs w:val="32"/>
          <w14:textFill>
            <w14:solidFill>
              <w14:schemeClr w14:val="tx1"/>
            </w14:solidFill>
          </w14:textFill>
        </w:rPr>
        <w:t>CA数字证书驱动</w:t>
      </w:r>
      <w:r>
        <w:rPr>
          <w:rFonts w:hint="eastAsia" w:ascii="仿宋" w:hAnsi="仿宋" w:eastAsia="仿宋"/>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（3）驱动安装完成后在“网上交易系统”左上方点击“请登录”按钮进入到系统登录页面，点击“互认平台认证登陆”，页面自动跳转至</w:t>
      </w:r>
      <w:r>
        <w:rPr>
          <w:rStyle w:val="18"/>
          <w:rFonts w:hint="eastAsia" w:ascii="仿宋" w:hAnsi="仿宋" w:eastAsia="仿宋"/>
          <w:b w:val="0"/>
          <w:color w:val="000000" w:themeColor="text1"/>
          <w:sz w:val="32"/>
          <w:szCs w:val="32"/>
          <w14:textFill>
            <w14:solidFill>
              <w14:schemeClr w14:val="tx1"/>
            </w14:solidFill>
          </w14:textFill>
        </w:rPr>
        <w:t>内蒙古自治区统一认证平台</w:t>
      </w:r>
      <w:r>
        <w:rPr>
          <w:rFonts w:hint="eastAsia" w:ascii="仿宋" w:hAnsi="仿宋" w:eastAsia="仿宋"/>
          <w:color w:val="000000" w:themeColor="text1"/>
          <w:sz w:val="32"/>
          <w:szCs w:val="32"/>
          <w14:textFill>
            <w14:solidFill>
              <w14:schemeClr w14:val="tx1"/>
            </w14:solidFill>
          </w14:textFill>
        </w:rPr>
        <w:t>，需先点击“互认平台认证登录”输入密码进行CA认证，最后点击“进入授权”按钮，登录成功。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（二）本次土地挂牌出让采用网上竞买申请的方式，竞买人在报名期内插入CA数字证书使用IE浏览器（IE浏览器版本不得低于IE10）登录</w:t>
      </w:r>
      <w:r>
        <w:rPr>
          <w:rFonts w:hint="eastAsia" w:ascii="仿宋" w:hAnsi="仿宋" w:eastAsia="仿宋" w:cs="FangSong_GB2312"/>
          <w:color w:val="000000" w:themeColor="text1"/>
          <w:sz w:val="32"/>
          <w:szCs w:val="32"/>
          <w14:textFill>
            <w14:solidFill>
              <w14:schemeClr w14:val="tx1"/>
            </w14:solidFill>
          </w14:textFill>
        </w:rPr>
        <w:t>内蒙古自治区国土资源交易系统（http://110.16.70.81:8090/trade-engine/trade/index）</w:t>
      </w:r>
      <w:r>
        <w:rPr>
          <w:rFonts w:hint="eastAsia" w:ascii="仿宋" w:hAnsi="仿宋" w:eastAsia="仿宋"/>
          <w:color w:val="000000" w:themeColor="text1"/>
          <w:sz w:val="32"/>
          <w:szCs w:val="32"/>
          <w14:textFill>
            <w14:solidFill>
              <w14:schemeClr w14:val="tx1"/>
            </w14:solidFill>
          </w14:textFill>
        </w:rPr>
        <w:t>点击预申购的资源。</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（三）竞买申请书填写</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填写《竞买申请书》，填写完成后点击“下载签章文件”按钮，将签章文件保存至计算机。</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1、在线签章</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完竞买申请书,点击“进行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2、保证金缴纳</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tabs>
          <w:tab w:val="left" w:pos="4380"/>
        </w:tabs>
        <w:spacing w:line="540" w:lineRule="exact"/>
        <w:ind w:left="0" w:firstLine="640" w:firstLineChars="20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注：如对系统操作存在疑问，可点击交易系统“服务中心”栏目下的“资料下载”功能下载用户操作手册。</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六、网上挂牌报价</w:t>
      </w:r>
    </w:p>
    <w:p>
      <w:pPr>
        <w:tabs>
          <w:tab w:val="left" w:pos="4380"/>
        </w:tabs>
        <w:spacing w:line="540" w:lineRule="exact"/>
        <w:ind w:left="0" w:firstLine="640" w:firstLineChars="200"/>
        <w:rPr>
          <w:rFonts w:ascii="仿宋" w:hAnsi="仿宋" w:eastAsia="仿宋"/>
          <w:color w:val="FF0000"/>
          <w:sz w:val="32"/>
          <w:szCs w:val="32"/>
        </w:rPr>
      </w:pPr>
      <w:r>
        <w:rPr>
          <w:rFonts w:hint="eastAsia" w:ascii="仿宋" w:hAnsi="仿宋" w:eastAsia="仿宋"/>
          <w:color w:val="000000" w:themeColor="text1"/>
          <w:sz w:val="32"/>
          <w:szCs w:val="32"/>
          <w14:textFill>
            <w14:solidFill>
              <w14:schemeClr w14:val="tx1"/>
            </w14:solidFill>
          </w14:textFill>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挂牌期内竞买人可以多次出价，每次报价必须按增价幅度的倍数报价且高于当前最高有效报价。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（二）挂牌期确定预竞得人：挂牌期内只有一个竞买人报价且高于底价确定为预竞得人，报价低于底价不成交。资源挂牌期截止后，有两个以上的竞买人参与挂牌报价，系统进入限时竞价。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特别提示：</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竞买人须在资源挂牌期间进行一次网上有效报价，才有资格参加之后的限时竞价环节，否则视为自动放弃竞买权。</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七、限时竞价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（一）询问期：资源挂牌期截止后，有两个以上的竞买人参与挂牌报价，系统自动进入</w:t>
      </w:r>
      <w:r>
        <w:rPr>
          <w:rStyle w:val="18"/>
          <w:rFonts w:hint="eastAsia" w:ascii="仿宋" w:hAnsi="仿宋" w:eastAsia="仿宋"/>
          <w:b w:val="0"/>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分钟询问期，询问期结束后，进入限时竞价环节；</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（二）限时竞价：进入限时竞价环节的竞买人需在系统设定的倒计时时间内进行报价，报价应是增价幅度的倍数，系统以</w:t>
      </w:r>
      <w:r>
        <w:rPr>
          <w:rStyle w:val="18"/>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分钟倒计时为竞价时限，如在</w:t>
      </w:r>
      <w:r>
        <w:rPr>
          <w:rStyle w:val="18"/>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分钟倒计时内有新的报价，系统即从接受新报价之时起重置竞价时限，竞买人可参加新一轮的报价。</w:t>
      </w:r>
      <w:r>
        <w:rPr>
          <w:rStyle w:val="18"/>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分钟倒计时内无人报价，则在该地块</w:t>
      </w:r>
      <w:r>
        <w:rPr>
          <w:rStyle w:val="18"/>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分钟倒计时结束时自动关闭竞价通道，系统确定当前最高有效报价，限时竞价结束。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（四）预竞得人登录“网上交易系统”在“个人中心-&gt;我的文档”中打印《国有土地使用权预成交确认书》。</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八、资质审查</w:t>
      </w:r>
    </w:p>
    <w:p>
      <w:pPr>
        <w:tabs>
          <w:tab w:val="left" w:pos="4380"/>
        </w:tabs>
        <w:spacing w:line="540" w:lineRule="exact"/>
        <w:ind w:left="0"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预竞得人在系统签发《国有土地使用权预成交确认书》的2个工作日内，将企业营业执照</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、法定代表人身份证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、如委托他人办理的须上传委托书及受托人身份证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、《国有土地使用权预成交确认书》</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保证金缴纳回执单</w:t>
      </w:r>
      <w:r>
        <w:rPr>
          <w:rFonts w:hint="eastAsia" w:ascii="仿宋" w:hAnsi="仿宋" w:eastAsia="仿宋"/>
          <w:b/>
          <w:bCs/>
          <w:color w:val="000000" w:themeColor="text1"/>
          <w:sz w:val="32"/>
          <w:szCs w:val="32"/>
          <w14:textFill>
            <w14:solidFill>
              <w14:schemeClr w14:val="tx1"/>
            </w14:solidFill>
          </w14:textFill>
        </w:rPr>
        <w:t>上传至交易系统。</w:t>
      </w:r>
      <w:r>
        <w:rPr>
          <w:rFonts w:hint="eastAsia" w:ascii="仿宋" w:hAnsi="仿宋" w:eastAsia="仿宋"/>
          <w:b/>
          <w:bCs/>
          <w:color w:val="FF0000"/>
          <w:sz w:val="32"/>
          <w:szCs w:val="32"/>
        </w:rPr>
        <w:t>房地产开发和商业用地，预竞得人须上传保证金不属于银行贷款、股东借款、转贷和募集资金的承诺书及商业金融机构的资信证明</w:t>
      </w:r>
      <w:r>
        <w:rPr>
          <w:rFonts w:hint="eastAsia" w:ascii="仿宋" w:hAnsi="仿宋" w:eastAsia="仿宋"/>
          <w:b/>
          <w:bCs/>
          <w:color w:val="000000" w:themeColor="text1"/>
          <w:sz w:val="32"/>
          <w:szCs w:val="32"/>
          <w14:textFill>
            <w14:solidFill>
              <w14:schemeClr w14:val="tx1"/>
            </w14:solidFill>
          </w14:textFill>
        </w:rPr>
        <w:t>。交易中心在线对其进行资格确认。 通过资格确认的，交易中心签发《成交确认书》，未通过资格确认的取消其竞得资格。</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九、成交确认</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在资格审查结束后，根据审查结果确定资源成交，竞得人持所需材料在公告约定时间内与出让人签订国有土地使用权成交确认书；未通过审核的取消其竞得资格。</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十、结果公示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成交确认书签订后，出让人与交易机构10个工作日内在相关网站发布成交结果公示，公示期不少于5天。</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十一、保证金的处置</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交易公示结束后，未竞得人的保证金5个工作日原路退还至基本账户（不计利息），竞得人的保证金可转做国有土地使用权出让金。</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十二、</w:t>
      </w:r>
      <w:r>
        <w:rPr>
          <w:rFonts w:hint="eastAsia" w:ascii="仿宋" w:hAnsi="仿宋" w:eastAsia="仿宋"/>
          <w:color w:val="000000" w:themeColor="text1"/>
          <w:sz w:val="32"/>
          <w:szCs w:val="32"/>
          <w14:textFill>
            <w14:solidFill>
              <w14:schemeClr w14:val="tx1"/>
            </w14:solidFill>
          </w14:textFill>
        </w:rPr>
        <w:t>竞买人未按照公告及挂牌出让文件全部要求执行的，所造成的一切损失和法律后果由竞买人自行承担。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十三、</w:t>
      </w:r>
      <w:r>
        <w:rPr>
          <w:rFonts w:hint="eastAsia" w:ascii="仿宋" w:hAnsi="仿宋" w:eastAsia="仿宋"/>
          <w:color w:val="000000" w:themeColor="text1"/>
          <w:sz w:val="32"/>
          <w:szCs w:val="32"/>
          <w14:textFill>
            <w14:solidFill>
              <w14:schemeClr w14:val="tx1"/>
            </w14:solidFill>
          </w14:textFill>
        </w:rPr>
        <w:t>竞买人在“网上交易系统”实施的所有行为，均由“网上交易系统”自动记录，视为竞买人真实或经合法授权的行为，该行为所引起的法律责任由竞买人承担。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十四、</w:t>
      </w:r>
      <w:r>
        <w:rPr>
          <w:rFonts w:hint="eastAsia" w:ascii="仿宋" w:hAnsi="仿宋" w:eastAsia="仿宋"/>
          <w:color w:val="000000" w:themeColor="text1"/>
          <w:sz w:val="32"/>
          <w:szCs w:val="32"/>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十五、</w:t>
      </w:r>
      <w:r>
        <w:rPr>
          <w:rFonts w:hint="eastAsia" w:ascii="仿宋" w:hAnsi="仿宋" w:eastAsia="仿宋"/>
          <w:color w:val="000000" w:themeColor="text1"/>
          <w:sz w:val="32"/>
          <w:szCs w:val="32"/>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十六、</w:t>
      </w:r>
      <w:r>
        <w:rPr>
          <w:rFonts w:hint="eastAsia" w:ascii="仿宋" w:hAnsi="仿宋" w:eastAsia="仿宋"/>
          <w:color w:val="000000" w:themeColor="text1"/>
          <w:sz w:val="32"/>
          <w:szCs w:val="32"/>
          <w14:textFill>
            <w14:solidFill>
              <w14:schemeClr w14:val="tx1"/>
            </w14:solidFill>
          </w14:textFill>
        </w:rPr>
        <w:t>有下列情形之一的，国有土地使用权交易行为应中止</w:t>
      </w:r>
      <w:r>
        <w:rPr>
          <w:rStyle w:val="18"/>
          <w:rFonts w:hint="eastAsia" w:ascii="仿宋" w:hAnsi="仿宋" w:eastAsia="仿宋"/>
          <w:b w:val="0"/>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（一）网上交易系统受到网络恶意入侵的；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（二）因网上交易系统遭受破坏或发生电力、网络故障等不可抗力的非交易中心因素，导致网上交易系统不能正常运行的；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（三）因不可抗力应当中止国有土地使用权交易的其他情形。</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国有土地使用权交易行为中止的原因消除后，应当及时恢复国有土地使用权交易。</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十七、</w:t>
      </w:r>
      <w:r>
        <w:rPr>
          <w:rFonts w:hint="eastAsia" w:ascii="仿宋" w:hAnsi="仿宋" w:eastAsia="仿宋"/>
          <w:color w:val="000000" w:themeColor="text1"/>
          <w:sz w:val="32"/>
          <w:szCs w:val="32"/>
          <w14:textFill>
            <w14:solidFill>
              <w14:schemeClr w14:val="tx1"/>
            </w14:solidFill>
          </w14:textFill>
        </w:rPr>
        <w:t>出现以下情形之一的即视为竞得人违约，出让人有权解除《成交确认书》，并取消竞得人的资格。</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（一）竞得人提供的资质条件证明文件虚假的；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（二）竞得人隐瞒事实，恶意串通或采取其他非法手段竞得的；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（三）竞得人拒绝签订《成交确认书》；</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（四）公示期间有举报且经调查核实属违法违规行为的。</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十八、</w:t>
      </w:r>
      <w:r>
        <w:rPr>
          <w:rFonts w:hint="eastAsia" w:ascii="仿宋" w:hAnsi="仿宋" w:eastAsia="仿宋"/>
          <w:color w:val="000000" w:themeColor="text1"/>
          <w:sz w:val="32"/>
          <w:szCs w:val="32"/>
          <w14:textFill>
            <w14:solidFill>
              <w14:schemeClr w14:val="tx1"/>
            </w14:solidFill>
          </w14:textFill>
        </w:rPr>
        <w:t>出让人对本《国有土地使用权挂牌出让须知》有最终解释权。</w:t>
      </w:r>
    </w:p>
    <w:p>
      <w:pPr>
        <w:pStyle w:val="13"/>
        <w:shd w:val="clear" w:color="auto" w:fill="FFFFFF"/>
        <w:spacing w:before="0" w:beforeAutospacing="0" w:after="0" w:afterAutospacing="0" w:line="540" w:lineRule="exact"/>
        <w:jc w:val="both"/>
        <w:rPr>
          <w:rStyle w:val="18"/>
          <w:rFonts w:ascii="仿宋" w:hAnsi="仿宋" w:eastAsia="仿宋"/>
          <w:b w:val="0"/>
          <w:color w:val="000000" w:themeColor="text1"/>
          <w:sz w:val="32"/>
          <w:szCs w:val="32"/>
          <w14:textFill>
            <w14:solidFill>
              <w14:schemeClr w14:val="tx1"/>
            </w14:solidFill>
          </w14:textFill>
        </w:rPr>
      </w:pPr>
    </w:p>
    <w:p>
      <w:pPr>
        <w:pStyle w:val="13"/>
        <w:shd w:val="clear" w:color="auto" w:fill="FFFFFF"/>
        <w:spacing w:before="0" w:beforeAutospacing="0" w:after="0" w:afterAutospacing="0" w:line="540" w:lineRule="exact"/>
        <w:ind w:firstLine="200"/>
        <w:jc w:val="right"/>
        <w:rPr>
          <w:rStyle w:val="18"/>
          <w:rFonts w:hint="eastAsia" w:ascii="仿宋" w:hAnsi="仿宋" w:eastAsia="仿宋"/>
          <w:b w:val="0"/>
          <w:color w:val="000000" w:themeColor="text1"/>
          <w:sz w:val="32"/>
          <w:szCs w:val="32"/>
          <w14:textFill>
            <w14:solidFill>
              <w14:schemeClr w14:val="tx1"/>
            </w14:solidFill>
          </w14:textFill>
        </w:rPr>
      </w:pPr>
    </w:p>
    <w:p>
      <w:pPr>
        <w:pStyle w:val="13"/>
        <w:shd w:val="clear" w:color="auto" w:fill="FFFFFF"/>
        <w:spacing w:before="0" w:beforeAutospacing="0" w:after="0" w:afterAutospacing="0" w:line="540" w:lineRule="exact"/>
        <w:ind w:firstLine="200"/>
        <w:jc w:val="right"/>
        <w:rPr>
          <w:rFonts w:ascii="仿宋" w:hAnsi="仿宋" w:eastAsia="仿宋"/>
          <w:color w:val="auto"/>
          <w:sz w:val="32"/>
          <w:szCs w:val="32"/>
        </w:rPr>
      </w:pPr>
      <w:r>
        <w:rPr>
          <w:rStyle w:val="18"/>
          <w:rFonts w:hint="eastAsia" w:ascii="仿宋" w:hAnsi="仿宋" w:eastAsia="仿宋"/>
          <w:b w:val="0"/>
          <w:color w:val="auto"/>
          <w:sz w:val="32"/>
          <w:szCs w:val="32"/>
        </w:rPr>
        <w:t>乌海市公共资源交易中心</w:t>
      </w:r>
    </w:p>
    <w:p>
      <w:pPr>
        <w:pStyle w:val="13"/>
        <w:shd w:val="clear" w:color="auto" w:fill="FFFFFF"/>
        <w:spacing w:before="0" w:beforeAutospacing="0" w:after="0" w:afterAutospacing="0" w:line="540" w:lineRule="exact"/>
        <w:ind w:firstLine="6560" w:firstLineChars="2050"/>
        <w:jc w:val="both"/>
        <w:rPr>
          <w:rFonts w:ascii="仿宋" w:hAnsi="仿宋" w:eastAsia="仿宋"/>
          <w:color w:val="auto"/>
          <w:sz w:val="32"/>
          <w:szCs w:val="32"/>
        </w:rPr>
      </w:pP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6</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27</w:t>
      </w:r>
      <w:r>
        <w:rPr>
          <w:rFonts w:hint="eastAsia" w:ascii="仿宋" w:hAnsi="仿宋" w:eastAsia="仿宋" w:cs="FangSong_GB2312"/>
          <w:color w:val="auto"/>
          <w:sz w:val="32"/>
          <w:szCs w:val="32"/>
          <w:highlight w:val="none"/>
        </w:rPr>
        <w:t>日</w:t>
      </w:r>
    </w:p>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Consolas">
    <w:panose1 w:val="020B0609020204030204"/>
    <w:charset w:val="00"/>
    <w:family w:val="auto"/>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19311DA1-9C6D-459A-B93B-1A2BE0C3AB11}"/>
  </w:font>
  <w:font w:name="FangSong_GB2312">
    <w:altName w:val="仿宋_GB2312"/>
    <w:panose1 w:val="02010609060101010101"/>
    <w:charset w:val="00"/>
    <w:family w:val="roman"/>
    <w:pitch w:val="default"/>
    <w:sig w:usb0="00000000" w:usb1="00000000" w:usb2="00000000" w:usb3="00000000" w:csb0="00000000" w:csb1="00000000"/>
    <w:embedRegular r:id="rId2" w:fontKey="{8F4B5F55-31A8-4AF6-A634-EA4C20ABA1F2}"/>
  </w:font>
  <w:font w:name="FangSong_GB2312falt">
    <w:altName w:val="微软雅黑"/>
    <w:panose1 w:val="00000000000000000000"/>
    <w:charset w:val="86"/>
    <w:family w:val="modern"/>
    <w:pitch w:val="default"/>
    <w:sig w:usb0="00000000" w:usb1="00000000" w:usb2="00000010" w:usb3="00000000" w:csb0="00040000" w:csb1="00000000"/>
    <w:embedRegular r:id="rId3" w:fontKey="{353654BF-6143-4D42-A333-CE107AF7D89C}"/>
  </w:font>
  <w:font w:name="仿宋_GB2312">
    <w:panose1 w:val="02010609030101010101"/>
    <w:charset w:val="86"/>
    <w:family w:val="auto"/>
    <w:pitch w:val="default"/>
    <w:sig w:usb0="00000001" w:usb1="080E0000" w:usb2="00000000" w:usb3="00000000" w:csb0="00040000" w:csb1="00000000"/>
    <w:embedRegular r:id="rId4" w:fontKey="{98019831-475C-4C68-BF6B-7B77FA59552B}"/>
  </w:font>
  <w:font w:name="微软雅黑">
    <w:panose1 w:val="020B0503020204020204"/>
    <w:charset w:val="86"/>
    <w:family w:val="auto"/>
    <w:pitch w:val="default"/>
    <w:sig w:usb0="80000287" w:usb1="2ACF3C50" w:usb2="00000016" w:usb3="00000000" w:csb0="0004001F" w:csb1="00000000"/>
    <w:embedRegular r:id="rId5" w:fontKey="{65D3202D-4DEA-41DB-8DBE-A4D11CC445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BoClfi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rw1/cAAAADgEAAA8AAAAAAAAAAQAgAAAAIgAAAGRycy9kb3du&#10;cmV2LnhtbFBLAQIUABQAAAAIAIdO4kACriO+wgEAAJADAAAOAAAAAAAAAAEAIAAAACsBAABkcnMv&#10;ZTJvRG9jLnhtbFBLBQYAAAAABgAGAFkBAABfBQ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CgQUwF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vDX9wAAAAOAQAADwAAAAAAAAABACAAAAAiAAAAZHJzL2Rvd25y&#10;ZXYueG1sUEsBAhQAFAAAAAgAh07iQGCHSArBAQAAkAMAAA4AAAAAAAAAAQAgAAAAKwEAAGRycy9l&#10;Mm9Eb2MueG1sUEsFBgAAAAAGAAYAWQEAAF4FA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839"/>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 w:name="KSO_WPS_MARK_KEY" w:val="67e3e82b-30bf-40b2-b6f9-501b2b094da6"/>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24600CB"/>
    <w:rsid w:val="028B18FB"/>
    <w:rsid w:val="029A7C8F"/>
    <w:rsid w:val="02DE5ECF"/>
    <w:rsid w:val="02E903CF"/>
    <w:rsid w:val="03012EB6"/>
    <w:rsid w:val="030C2C1F"/>
    <w:rsid w:val="03E05C76"/>
    <w:rsid w:val="040F0053"/>
    <w:rsid w:val="041059C0"/>
    <w:rsid w:val="04115814"/>
    <w:rsid w:val="044E1C2B"/>
    <w:rsid w:val="04640655"/>
    <w:rsid w:val="048A0CB8"/>
    <w:rsid w:val="054F4E8B"/>
    <w:rsid w:val="05551D6C"/>
    <w:rsid w:val="05931291"/>
    <w:rsid w:val="06734B80"/>
    <w:rsid w:val="06777248"/>
    <w:rsid w:val="06B63265"/>
    <w:rsid w:val="07115CFE"/>
    <w:rsid w:val="07141709"/>
    <w:rsid w:val="07492231"/>
    <w:rsid w:val="074C630C"/>
    <w:rsid w:val="07911761"/>
    <w:rsid w:val="08E91C8E"/>
    <w:rsid w:val="091C14FF"/>
    <w:rsid w:val="09554F7F"/>
    <w:rsid w:val="09AC5238"/>
    <w:rsid w:val="09B91E73"/>
    <w:rsid w:val="0B453DBF"/>
    <w:rsid w:val="0B6C7DF0"/>
    <w:rsid w:val="0C3A6B50"/>
    <w:rsid w:val="0C6160F7"/>
    <w:rsid w:val="0CBC55DD"/>
    <w:rsid w:val="0D621DA0"/>
    <w:rsid w:val="0E175E4F"/>
    <w:rsid w:val="0E430E78"/>
    <w:rsid w:val="0E74336A"/>
    <w:rsid w:val="0F3D3A4A"/>
    <w:rsid w:val="0F61151D"/>
    <w:rsid w:val="0F915630"/>
    <w:rsid w:val="0FBC682D"/>
    <w:rsid w:val="0FDA5E7C"/>
    <w:rsid w:val="0FE62886"/>
    <w:rsid w:val="106422A2"/>
    <w:rsid w:val="11020FDA"/>
    <w:rsid w:val="121E6E1F"/>
    <w:rsid w:val="124A5E7C"/>
    <w:rsid w:val="124F64A1"/>
    <w:rsid w:val="12FD669C"/>
    <w:rsid w:val="13620456"/>
    <w:rsid w:val="141C6857"/>
    <w:rsid w:val="145664B1"/>
    <w:rsid w:val="14956609"/>
    <w:rsid w:val="14B1541F"/>
    <w:rsid w:val="14CB202B"/>
    <w:rsid w:val="15681628"/>
    <w:rsid w:val="16133C89"/>
    <w:rsid w:val="1615355E"/>
    <w:rsid w:val="175E4A65"/>
    <w:rsid w:val="18000D5A"/>
    <w:rsid w:val="182A0D45"/>
    <w:rsid w:val="18CB2A86"/>
    <w:rsid w:val="18CF5571"/>
    <w:rsid w:val="18EC3795"/>
    <w:rsid w:val="1945669A"/>
    <w:rsid w:val="196D7CBC"/>
    <w:rsid w:val="1A0C2EC9"/>
    <w:rsid w:val="1A676352"/>
    <w:rsid w:val="1A713C1F"/>
    <w:rsid w:val="1AC506ED"/>
    <w:rsid w:val="1B3A0A95"/>
    <w:rsid w:val="1B3A2F9D"/>
    <w:rsid w:val="1B3A3A66"/>
    <w:rsid w:val="1B903686"/>
    <w:rsid w:val="1BAF0938"/>
    <w:rsid w:val="1C067028"/>
    <w:rsid w:val="1C3D1E77"/>
    <w:rsid w:val="1C661E6D"/>
    <w:rsid w:val="1D3B0967"/>
    <w:rsid w:val="1D935945"/>
    <w:rsid w:val="1DBD4B98"/>
    <w:rsid w:val="1DCF493A"/>
    <w:rsid w:val="1DEB1048"/>
    <w:rsid w:val="1DF22B3C"/>
    <w:rsid w:val="1E122A78"/>
    <w:rsid w:val="1E420CBE"/>
    <w:rsid w:val="1EF06916"/>
    <w:rsid w:val="1F625C18"/>
    <w:rsid w:val="1F767E64"/>
    <w:rsid w:val="1F7F7E6A"/>
    <w:rsid w:val="1FB71B33"/>
    <w:rsid w:val="1FF82CAC"/>
    <w:rsid w:val="202647F7"/>
    <w:rsid w:val="206A5224"/>
    <w:rsid w:val="20CF1F6B"/>
    <w:rsid w:val="20F31418"/>
    <w:rsid w:val="210C37AF"/>
    <w:rsid w:val="212E273D"/>
    <w:rsid w:val="21527B83"/>
    <w:rsid w:val="215A09BE"/>
    <w:rsid w:val="21D32688"/>
    <w:rsid w:val="220973D9"/>
    <w:rsid w:val="227B707F"/>
    <w:rsid w:val="22CB5E23"/>
    <w:rsid w:val="22E42C35"/>
    <w:rsid w:val="235F294A"/>
    <w:rsid w:val="23653452"/>
    <w:rsid w:val="236769FC"/>
    <w:rsid w:val="23D55D20"/>
    <w:rsid w:val="23FB76B9"/>
    <w:rsid w:val="23FE3883"/>
    <w:rsid w:val="243634F3"/>
    <w:rsid w:val="246F478D"/>
    <w:rsid w:val="24AD1BC4"/>
    <w:rsid w:val="250A344E"/>
    <w:rsid w:val="25590B49"/>
    <w:rsid w:val="258E50DA"/>
    <w:rsid w:val="259C1DC8"/>
    <w:rsid w:val="25DE3CBB"/>
    <w:rsid w:val="25E511E1"/>
    <w:rsid w:val="266E4003"/>
    <w:rsid w:val="267A11BB"/>
    <w:rsid w:val="268812DB"/>
    <w:rsid w:val="269654E3"/>
    <w:rsid w:val="270B7AC8"/>
    <w:rsid w:val="270B7E24"/>
    <w:rsid w:val="27703550"/>
    <w:rsid w:val="28074CD0"/>
    <w:rsid w:val="290F05C4"/>
    <w:rsid w:val="294D73CE"/>
    <w:rsid w:val="29732316"/>
    <w:rsid w:val="2984009C"/>
    <w:rsid w:val="29862108"/>
    <w:rsid w:val="298F6472"/>
    <w:rsid w:val="29FC015B"/>
    <w:rsid w:val="2A7517C0"/>
    <w:rsid w:val="2A795E57"/>
    <w:rsid w:val="2AE80AD7"/>
    <w:rsid w:val="2AF272BD"/>
    <w:rsid w:val="2C93023E"/>
    <w:rsid w:val="2D0A159E"/>
    <w:rsid w:val="2D7D772A"/>
    <w:rsid w:val="2DE15604"/>
    <w:rsid w:val="2DF71C47"/>
    <w:rsid w:val="2E043D71"/>
    <w:rsid w:val="2E1A2CBD"/>
    <w:rsid w:val="2E8E6166"/>
    <w:rsid w:val="2EA9088F"/>
    <w:rsid w:val="2F422332"/>
    <w:rsid w:val="2F566C69"/>
    <w:rsid w:val="2F9B467C"/>
    <w:rsid w:val="304E5B92"/>
    <w:rsid w:val="305247DB"/>
    <w:rsid w:val="308415B4"/>
    <w:rsid w:val="309C34AC"/>
    <w:rsid w:val="309F60E3"/>
    <w:rsid w:val="30B04521"/>
    <w:rsid w:val="31485B61"/>
    <w:rsid w:val="315076E8"/>
    <w:rsid w:val="3175690A"/>
    <w:rsid w:val="318B3424"/>
    <w:rsid w:val="31D2190C"/>
    <w:rsid w:val="32454D73"/>
    <w:rsid w:val="325244A3"/>
    <w:rsid w:val="32655415"/>
    <w:rsid w:val="32B70DC5"/>
    <w:rsid w:val="32D70A47"/>
    <w:rsid w:val="33016F86"/>
    <w:rsid w:val="33653D7A"/>
    <w:rsid w:val="33725B8E"/>
    <w:rsid w:val="33A27236"/>
    <w:rsid w:val="33A90616"/>
    <w:rsid w:val="33C06508"/>
    <w:rsid w:val="3408225D"/>
    <w:rsid w:val="340A662D"/>
    <w:rsid w:val="34360E17"/>
    <w:rsid w:val="34903798"/>
    <w:rsid w:val="34C2697F"/>
    <w:rsid w:val="34DF0048"/>
    <w:rsid w:val="35207CA0"/>
    <w:rsid w:val="35296DE4"/>
    <w:rsid w:val="355C181D"/>
    <w:rsid w:val="356F70AA"/>
    <w:rsid w:val="35A053D3"/>
    <w:rsid w:val="35AC25ED"/>
    <w:rsid w:val="35D11B70"/>
    <w:rsid w:val="362E3CD5"/>
    <w:rsid w:val="36354047"/>
    <w:rsid w:val="36F11B9A"/>
    <w:rsid w:val="38B4392F"/>
    <w:rsid w:val="38D07641"/>
    <w:rsid w:val="39580A05"/>
    <w:rsid w:val="397F0B6A"/>
    <w:rsid w:val="39BA0B35"/>
    <w:rsid w:val="39D013C6"/>
    <w:rsid w:val="3A2F7D52"/>
    <w:rsid w:val="3A7868EF"/>
    <w:rsid w:val="3A8B3E85"/>
    <w:rsid w:val="3B092B44"/>
    <w:rsid w:val="3B405113"/>
    <w:rsid w:val="3B75209E"/>
    <w:rsid w:val="3BD07399"/>
    <w:rsid w:val="3CB55BF6"/>
    <w:rsid w:val="3D387D66"/>
    <w:rsid w:val="3E1034A1"/>
    <w:rsid w:val="3E1B36E3"/>
    <w:rsid w:val="3E447CFD"/>
    <w:rsid w:val="3EE735A7"/>
    <w:rsid w:val="3FA84B3B"/>
    <w:rsid w:val="3FB461A6"/>
    <w:rsid w:val="403703F1"/>
    <w:rsid w:val="4077459E"/>
    <w:rsid w:val="40DC6D8D"/>
    <w:rsid w:val="40E52187"/>
    <w:rsid w:val="41087697"/>
    <w:rsid w:val="412A20B8"/>
    <w:rsid w:val="418E6E19"/>
    <w:rsid w:val="42004812"/>
    <w:rsid w:val="420B0476"/>
    <w:rsid w:val="42894808"/>
    <w:rsid w:val="42D86298"/>
    <w:rsid w:val="42DD04F2"/>
    <w:rsid w:val="42EE0B0F"/>
    <w:rsid w:val="436C4C92"/>
    <w:rsid w:val="43874EB8"/>
    <w:rsid w:val="439F739E"/>
    <w:rsid w:val="43C53EED"/>
    <w:rsid w:val="43DB1093"/>
    <w:rsid w:val="44086D9A"/>
    <w:rsid w:val="440B71BB"/>
    <w:rsid w:val="4441584C"/>
    <w:rsid w:val="444C65CD"/>
    <w:rsid w:val="444F4F3A"/>
    <w:rsid w:val="446E1C6F"/>
    <w:rsid w:val="44EF6B85"/>
    <w:rsid w:val="4525470A"/>
    <w:rsid w:val="45780F51"/>
    <w:rsid w:val="45C323F1"/>
    <w:rsid w:val="46301D91"/>
    <w:rsid w:val="466330FF"/>
    <w:rsid w:val="467363F8"/>
    <w:rsid w:val="46DE5907"/>
    <w:rsid w:val="47310BC3"/>
    <w:rsid w:val="473968FE"/>
    <w:rsid w:val="474732F8"/>
    <w:rsid w:val="47DA120A"/>
    <w:rsid w:val="485F7C46"/>
    <w:rsid w:val="498E0956"/>
    <w:rsid w:val="49FC6E82"/>
    <w:rsid w:val="4A976CC9"/>
    <w:rsid w:val="4AC128C1"/>
    <w:rsid w:val="4AC436A6"/>
    <w:rsid w:val="4B3308B5"/>
    <w:rsid w:val="4B337875"/>
    <w:rsid w:val="4B5E0F69"/>
    <w:rsid w:val="4B727C4A"/>
    <w:rsid w:val="4C592403"/>
    <w:rsid w:val="4C863DA4"/>
    <w:rsid w:val="4CC56D43"/>
    <w:rsid w:val="4CF431C6"/>
    <w:rsid w:val="4D101657"/>
    <w:rsid w:val="4D166C24"/>
    <w:rsid w:val="4D2A484F"/>
    <w:rsid w:val="4D6B3488"/>
    <w:rsid w:val="4D891B60"/>
    <w:rsid w:val="4DB43081"/>
    <w:rsid w:val="4E120E4F"/>
    <w:rsid w:val="4EE15319"/>
    <w:rsid w:val="4F755F96"/>
    <w:rsid w:val="4FCE7CFE"/>
    <w:rsid w:val="50153B7F"/>
    <w:rsid w:val="50DB56F2"/>
    <w:rsid w:val="51791EEB"/>
    <w:rsid w:val="526B7E3F"/>
    <w:rsid w:val="52941907"/>
    <w:rsid w:val="52A925E8"/>
    <w:rsid w:val="52EB531A"/>
    <w:rsid w:val="534E30A1"/>
    <w:rsid w:val="53826985"/>
    <w:rsid w:val="53866166"/>
    <w:rsid w:val="53E27405"/>
    <w:rsid w:val="54090B2A"/>
    <w:rsid w:val="54B20F72"/>
    <w:rsid w:val="54B82E4B"/>
    <w:rsid w:val="54FD6961"/>
    <w:rsid w:val="550A1849"/>
    <w:rsid w:val="551B6DA4"/>
    <w:rsid w:val="55340EE1"/>
    <w:rsid w:val="55BD5204"/>
    <w:rsid w:val="56006F4E"/>
    <w:rsid w:val="560E354A"/>
    <w:rsid w:val="56596C46"/>
    <w:rsid w:val="568D4D76"/>
    <w:rsid w:val="569F41A2"/>
    <w:rsid w:val="57684EDC"/>
    <w:rsid w:val="577B5D8A"/>
    <w:rsid w:val="57893085"/>
    <w:rsid w:val="597A34A2"/>
    <w:rsid w:val="59D76D95"/>
    <w:rsid w:val="59F20F41"/>
    <w:rsid w:val="5B302D4D"/>
    <w:rsid w:val="5B7E082A"/>
    <w:rsid w:val="5C2B6D59"/>
    <w:rsid w:val="5C8B41AB"/>
    <w:rsid w:val="5D245C48"/>
    <w:rsid w:val="5D423AD9"/>
    <w:rsid w:val="5D496AF5"/>
    <w:rsid w:val="5D646D9A"/>
    <w:rsid w:val="5DB6074F"/>
    <w:rsid w:val="5EA82788"/>
    <w:rsid w:val="5F0A4C2A"/>
    <w:rsid w:val="5F23318E"/>
    <w:rsid w:val="5F264AF1"/>
    <w:rsid w:val="5FDF615F"/>
    <w:rsid w:val="608F40A8"/>
    <w:rsid w:val="609355AC"/>
    <w:rsid w:val="60957D19"/>
    <w:rsid w:val="609B040A"/>
    <w:rsid w:val="61654438"/>
    <w:rsid w:val="61C86D4A"/>
    <w:rsid w:val="62807BBC"/>
    <w:rsid w:val="62BB5EA5"/>
    <w:rsid w:val="62C751AC"/>
    <w:rsid w:val="63193E36"/>
    <w:rsid w:val="63844E4C"/>
    <w:rsid w:val="638A48B7"/>
    <w:rsid w:val="64852C29"/>
    <w:rsid w:val="64AE59F6"/>
    <w:rsid w:val="65B56C0B"/>
    <w:rsid w:val="65C97631"/>
    <w:rsid w:val="65F21AB3"/>
    <w:rsid w:val="66251B68"/>
    <w:rsid w:val="66664CDC"/>
    <w:rsid w:val="67127912"/>
    <w:rsid w:val="6732221A"/>
    <w:rsid w:val="674D1342"/>
    <w:rsid w:val="681B4A8F"/>
    <w:rsid w:val="6849021F"/>
    <w:rsid w:val="687A3C05"/>
    <w:rsid w:val="68940414"/>
    <w:rsid w:val="69553B4D"/>
    <w:rsid w:val="69724AD7"/>
    <w:rsid w:val="698F2F8F"/>
    <w:rsid w:val="699A7177"/>
    <w:rsid w:val="699F771D"/>
    <w:rsid w:val="6B030D4C"/>
    <w:rsid w:val="6B807383"/>
    <w:rsid w:val="6BBD6062"/>
    <w:rsid w:val="6BE74E19"/>
    <w:rsid w:val="6C001E4A"/>
    <w:rsid w:val="6C0E785F"/>
    <w:rsid w:val="6CD37D36"/>
    <w:rsid w:val="6D6F26C8"/>
    <w:rsid w:val="6E18382A"/>
    <w:rsid w:val="6E2A65EF"/>
    <w:rsid w:val="6E625D89"/>
    <w:rsid w:val="6EBF6F4C"/>
    <w:rsid w:val="6EEA7B57"/>
    <w:rsid w:val="6F072F62"/>
    <w:rsid w:val="6FAE76E8"/>
    <w:rsid w:val="700239E9"/>
    <w:rsid w:val="70151CB4"/>
    <w:rsid w:val="719641E7"/>
    <w:rsid w:val="71C92F88"/>
    <w:rsid w:val="71DB0B17"/>
    <w:rsid w:val="72946F4B"/>
    <w:rsid w:val="72AD56B1"/>
    <w:rsid w:val="72C64E61"/>
    <w:rsid w:val="730829F7"/>
    <w:rsid w:val="73177C77"/>
    <w:rsid w:val="73641BFE"/>
    <w:rsid w:val="73D0382F"/>
    <w:rsid w:val="745C32DA"/>
    <w:rsid w:val="74B66E2F"/>
    <w:rsid w:val="74CE6A7E"/>
    <w:rsid w:val="74EE6617"/>
    <w:rsid w:val="753A180E"/>
    <w:rsid w:val="756276E8"/>
    <w:rsid w:val="75734D20"/>
    <w:rsid w:val="75864A53"/>
    <w:rsid w:val="75B77661"/>
    <w:rsid w:val="760834D9"/>
    <w:rsid w:val="76BF43FB"/>
    <w:rsid w:val="788460D8"/>
    <w:rsid w:val="78B6564F"/>
    <w:rsid w:val="78EA354B"/>
    <w:rsid w:val="795B4B05"/>
    <w:rsid w:val="796D2967"/>
    <w:rsid w:val="79CD5CEC"/>
    <w:rsid w:val="7A592736"/>
    <w:rsid w:val="7AA240DD"/>
    <w:rsid w:val="7AA37E55"/>
    <w:rsid w:val="7B3B7919"/>
    <w:rsid w:val="7B683833"/>
    <w:rsid w:val="7B6F7CF7"/>
    <w:rsid w:val="7C2F02D0"/>
    <w:rsid w:val="7C4B2B74"/>
    <w:rsid w:val="7C707548"/>
    <w:rsid w:val="7C804BFA"/>
    <w:rsid w:val="7C831CEC"/>
    <w:rsid w:val="7C89326C"/>
    <w:rsid w:val="7CC516EE"/>
    <w:rsid w:val="7CFF2A1E"/>
    <w:rsid w:val="7D013D1F"/>
    <w:rsid w:val="7D0746CC"/>
    <w:rsid w:val="7D26648E"/>
    <w:rsid w:val="7D8904F4"/>
    <w:rsid w:val="7E611BB9"/>
    <w:rsid w:val="7E7D73FF"/>
    <w:rsid w:val="7EB77390"/>
    <w:rsid w:val="7EF70770"/>
    <w:rsid w:val="7EFC21B4"/>
    <w:rsid w:val="7F7003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3">
    <w:name w:val="heading 1"/>
    <w:basedOn w:val="1"/>
    <w:next w:val="4"/>
    <w:link w:val="26"/>
    <w:qFormat/>
    <w:uiPriority w:val="99"/>
    <w:pPr>
      <w:spacing w:before="159" w:after="153" w:line="554" w:lineRule="atLeast"/>
      <w:ind w:firstLine="0"/>
      <w:jc w:val="center"/>
      <w:outlineLvl w:val="0"/>
    </w:pPr>
    <w:rPr>
      <w:rFonts w:ascii="Arial" w:hAnsi="Arial" w:eastAsia="黑体" w:cs="Arial"/>
      <w:sz w:val="32"/>
      <w:szCs w:val="32"/>
    </w:rPr>
  </w:style>
  <w:style w:type="paragraph" w:styleId="4">
    <w:name w:val="heading 2"/>
    <w:basedOn w:val="1"/>
    <w:next w:val="5"/>
    <w:link w:val="27"/>
    <w:qFormat/>
    <w:uiPriority w:val="99"/>
    <w:pPr>
      <w:spacing w:line="519" w:lineRule="atLeast"/>
      <w:ind w:firstLine="0"/>
      <w:jc w:val="center"/>
      <w:outlineLvl w:val="1"/>
    </w:pPr>
    <w:rPr>
      <w:sz w:val="28"/>
      <w:szCs w:val="28"/>
    </w:rPr>
  </w:style>
  <w:style w:type="paragraph" w:styleId="5">
    <w:name w:val="heading 3"/>
    <w:basedOn w:val="1"/>
    <w:next w:val="1"/>
    <w:link w:val="28"/>
    <w:qFormat/>
    <w:uiPriority w:val="99"/>
    <w:pPr>
      <w:spacing w:before="176" w:after="102"/>
      <w:ind w:firstLine="0"/>
      <w:outlineLvl w:val="2"/>
    </w:pPr>
    <w:rPr>
      <w:rFonts w:eastAsia="黑体"/>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_GBK" w:hAnsi="Calibri" w:eastAsia="方正小标宋_GBK" w:cs="黑体"/>
      <w:color w:val="000000"/>
      <w:kern w:val="0"/>
      <w:sz w:val="24"/>
      <w:szCs w:val="24"/>
      <w:lang w:val="en-US" w:eastAsia="zh-CN" w:bidi="ar-SA"/>
    </w:rPr>
  </w:style>
  <w:style w:type="paragraph" w:styleId="6">
    <w:name w:val="toc 3"/>
    <w:basedOn w:val="1"/>
    <w:next w:val="1"/>
    <w:semiHidden/>
    <w:qFormat/>
    <w:uiPriority w:val="99"/>
    <w:pPr>
      <w:spacing w:line="548" w:lineRule="atLeast"/>
    </w:pPr>
  </w:style>
  <w:style w:type="paragraph" w:styleId="7">
    <w:name w:val="Date"/>
    <w:basedOn w:val="1"/>
    <w:next w:val="1"/>
    <w:link w:val="29"/>
    <w:qFormat/>
    <w:uiPriority w:val="99"/>
    <w:pPr>
      <w:ind w:left="100" w:leftChars="2500"/>
    </w:pPr>
  </w:style>
  <w:style w:type="paragraph" w:styleId="8">
    <w:name w:val="footer"/>
    <w:basedOn w:val="1"/>
    <w:link w:val="30"/>
    <w:qFormat/>
    <w:uiPriority w:val="99"/>
    <w:pPr>
      <w:tabs>
        <w:tab w:val="center" w:pos="4153"/>
        <w:tab w:val="right" w:pos="8306"/>
      </w:tabs>
      <w:snapToGrid w:val="0"/>
      <w:jc w:val="left"/>
    </w:pPr>
    <w:rPr>
      <w:sz w:val="18"/>
      <w:szCs w:val="18"/>
    </w:rPr>
  </w:style>
  <w:style w:type="paragraph" w:styleId="9">
    <w:name w:val="header"/>
    <w:basedOn w:val="1"/>
    <w:link w:val="3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semiHidden/>
    <w:qFormat/>
    <w:uiPriority w:val="99"/>
    <w:pPr>
      <w:spacing w:after="136" w:line="519" w:lineRule="atLeast"/>
      <w:ind w:firstLine="0"/>
      <w:jc w:val="left"/>
    </w:pPr>
    <w:rPr>
      <w:rFonts w:ascii="Arial" w:hAnsi="Arial" w:eastAsia="黑体" w:cs="Arial"/>
      <w:sz w:val="28"/>
      <w:szCs w:val="28"/>
    </w:rPr>
  </w:style>
  <w:style w:type="paragraph" w:styleId="11">
    <w:name w:val="toc 4"/>
    <w:basedOn w:val="1"/>
    <w:next w:val="1"/>
    <w:semiHidden/>
    <w:qFormat/>
    <w:uiPriority w:val="99"/>
    <w:pPr>
      <w:spacing w:line="548" w:lineRule="atLeast"/>
      <w:ind w:firstLine="630"/>
    </w:pPr>
  </w:style>
  <w:style w:type="paragraph" w:styleId="12">
    <w:name w:val="toc 2"/>
    <w:basedOn w:val="1"/>
    <w:next w:val="1"/>
    <w:semiHidden/>
    <w:qFormat/>
    <w:uiPriority w:val="99"/>
    <w:pPr>
      <w:spacing w:line="548" w:lineRule="atLeast"/>
      <w:ind w:firstLine="210"/>
    </w:pPr>
  </w:style>
  <w:style w:type="paragraph" w:styleId="13">
    <w:name w:val="Normal (Web)"/>
    <w:basedOn w:val="1"/>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4">
    <w:name w:val="Title"/>
    <w:basedOn w:val="1"/>
    <w:next w:val="15"/>
    <w:link w:val="32"/>
    <w:qFormat/>
    <w:uiPriority w:val="99"/>
    <w:pPr>
      <w:spacing w:before="567" w:after="545" w:line="808" w:lineRule="atLeast"/>
      <w:ind w:firstLine="0"/>
      <w:jc w:val="center"/>
    </w:pPr>
    <w:rPr>
      <w:rFonts w:ascii="Arial" w:hAnsi="Arial" w:eastAsia="黑体" w:cs="Arial"/>
      <w:sz w:val="52"/>
      <w:szCs w:val="52"/>
    </w:rPr>
  </w:style>
  <w:style w:type="paragraph" w:customStyle="1" w:styleId="15">
    <w:name w:val="文章副标题"/>
    <w:basedOn w:val="1"/>
    <w:next w:val="3"/>
    <w:qFormat/>
    <w:uiPriority w:val="99"/>
    <w:pPr>
      <w:spacing w:before="104" w:after="104" w:line="240" w:lineRule="atLeast"/>
      <w:ind w:firstLine="0"/>
      <w:jc w:val="center"/>
    </w:pPr>
    <w:rPr>
      <w:sz w:val="36"/>
      <w:szCs w:val="36"/>
    </w:rPr>
  </w:style>
  <w:style w:type="character" w:styleId="18">
    <w:name w:val="Strong"/>
    <w:basedOn w:val="17"/>
    <w:qFormat/>
    <w:uiPriority w:val="22"/>
    <w:rPr>
      <w:b/>
      <w:bCs/>
    </w:rPr>
  </w:style>
  <w:style w:type="character" w:styleId="19">
    <w:name w:val="page number"/>
    <w:basedOn w:val="17"/>
    <w:qFormat/>
    <w:uiPriority w:val="99"/>
    <w:rPr>
      <w:rFonts w:cs="Times New Roman"/>
    </w:rPr>
  </w:style>
  <w:style w:type="character" w:styleId="20">
    <w:name w:val="FollowedHyperlink"/>
    <w:basedOn w:val="17"/>
    <w:semiHidden/>
    <w:unhideWhenUsed/>
    <w:qFormat/>
    <w:locked/>
    <w:uiPriority w:val="99"/>
    <w:rPr>
      <w:color w:val="337AB7"/>
      <w:u w:val="none"/>
    </w:rPr>
  </w:style>
  <w:style w:type="character" w:styleId="21">
    <w:name w:val="HTML Definition"/>
    <w:basedOn w:val="17"/>
    <w:semiHidden/>
    <w:unhideWhenUsed/>
    <w:qFormat/>
    <w:locked/>
    <w:uiPriority w:val="99"/>
    <w:rPr>
      <w:i/>
      <w:iCs/>
    </w:rPr>
  </w:style>
  <w:style w:type="character" w:styleId="22">
    <w:name w:val="Hyperlink"/>
    <w:basedOn w:val="17"/>
    <w:qFormat/>
    <w:uiPriority w:val="99"/>
    <w:rPr>
      <w:rFonts w:cs="Times New Roman"/>
      <w:color w:val="0000FF"/>
      <w:u w:val="single"/>
    </w:rPr>
  </w:style>
  <w:style w:type="character" w:styleId="23">
    <w:name w:val="HTML Code"/>
    <w:basedOn w:val="17"/>
    <w:semiHidden/>
    <w:unhideWhenUsed/>
    <w:qFormat/>
    <w:locked/>
    <w:uiPriority w:val="99"/>
    <w:rPr>
      <w:rFonts w:ascii="Consolas" w:hAnsi="Consolas" w:eastAsia="Consolas" w:cs="Consolas"/>
      <w:color w:val="C7254E"/>
      <w:sz w:val="21"/>
      <w:szCs w:val="21"/>
      <w:shd w:val="clear" w:fill="F9F2F4"/>
    </w:rPr>
  </w:style>
  <w:style w:type="character" w:styleId="24">
    <w:name w:val="HTML Keyboard"/>
    <w:basedOn w:val="17"/>
    <w:semiHidden/>
    <w:unhideWhenUsed/>
    <w:qFormat/>
    <w:locked/>
    <w:uiPriority w:val="99"/>
    <w:rPr>
      <w:rFonts w:hint="default" w:ascii="Consolas" w:hAnsi="Consolas" w:eastAsia="Consolas" w:cs="Consolas"/>
      <w:color w:val="FFFFFF"/>
      <w:sz w:val="21"/>
      <w:szCs w:val="21"/>
      <w:shd w:val="clear" w:fill="333333"/>
    </w:rPr>
  </w:style>
  <w:style w:type="character" w:styleId="25">
    <w:name w:val="HTML Sample"/>
    <w:basedOn w:val="17"/>
    <w:semiHidden/>
    <w:unhideWhenUsed/>
    <w:qFormat/>
    <w:locked/>
    <w:uiPriority w:val="99"/>
    <w:rPr>
      <w:rFonts w:hint="default" w:ascii="Consolas" w:hAnsi="Consolas" w:eastAsia="Consolas" w:cs="Consolas"/>
      <w:sz w:val="21"/>
      <w:szCs w:val="21"/>
    </w:rPr>
  </w:style>
  <w:style w:type="character" w:customStyle="1" w:styleId="26">
    <w:name w:val="标题 1 Char"/>
    <w:basedOn w:val="17"/>
    <w:link w:val="3"/>
    <w:qFormat/>
    <w:locked/>
    <w:uiPriority w:val="99"/>
    <w:rPr>
      <w:rFonts w:cs="Times New Roman"/>
      <w:b/>
      <w:bCs/>
      <w:color w:val="000000"/>
      <w:kern w:val="44"/>
      <w:sz w:val="44"/>
      <w:szCs w:val="44"/>
    </w:rPr>
  </w:style>
  <w:style w:type="character" w:customStyle="1" w:styleId="27">
    <w:name w:val="标题 2 Char"/>
    <w:basedOn w:val="17"/>
    <w:link w:val="4"/>
    <w:semiHidden/>
    <w:qFormat/>
    <w:locked/>
    <w:uiPriority w:val="99"/>
    <w:rPr>
      <w:rFonts w:ascii="Cambria" w:hAnsi="Cambria" w:eastAsia="宋体" w:cs="Cambria"/>
      <w:b/>
      <w:bCs/>
      <w:color w:val="000000"/>
      <w:kern w:val="0"/>
      <w:sz w:val="32"/>
      <w:szCs w:val="32"/>
    </w:rPr>
  </w:style>
  <w:style w:type="character" w:customStyle="1" w:styleId="28">
    <w:name w:val="标题 3 Char"/>
    <w:basedOn w:val="17"/>
    <w:link w:val="5"/>
    <w:semiHidden/>
    <w:qFormat/>
    <w:locked/>
    <w:uiPriority w:val="99"/>
    <w:rPr>
      <w:rFonts w:cs="Times New Roman"/>
      <w:b/>
      <w:bCs/>
      <w:color w:val="000000"/>
      <w:kern w:val="0"/>
      <w:sz w:val="32"/>
      <w:szCs w:val="32"/>
    </w:rPr>
  </w:style>
  <w:style w:type="character" w:customStyle="1" w:styleId="29">
    <w:name w:val="日期 Char"/>
    <w:basedOn w:val="17"/>
    <w:link w:val="7"/>
    <w:semiHidden/>
    <w:qFormat/>
    <w:locked/>
    <w:uiPriority w:val="99"/>
    <w:rPr>
      <w:rFonts w:cs="Times New Roman"/>
      <w:color w:val="000000"/>
      <w:kern w:val="0"/>
      <w:sz w:val="20"/>
      <w:szCs w:val="20"/>
    </w:rPr>
  </w:style>
  <w:style w:type="character" w:customStyle="1" w:styleId="30">
    <w:name w:val="页脚 Char"/>
    <w:basedOn w:val="17"/>
    <w:link w:val="8"/>
    <w:semiHidden/>
    <w:qFormat/>
    <w:locked/>
    <w:uiPriority w:val="99"/>
    <w:rPr>
      <w:rFonts w:cs="Times New Roman"/>
      <w:color w:val="000000"/>
      <w:kern w:val="0"/>
      <w:sz w:val="18"/>
      <w:szCs w:val="18"/>
    </w:rPr>
  </w:style>
  <w:style w:type="character" w:customStyle="1" w:styleId="31">
    <w:name w:val="页眉 Char"/>
    <w:basedOn w:val="17"/>
    <w:link w:val="9"/>
    <w:semiHidden/>
    <w:qFormat/>
    <w:locked/>
    <w:uiPriority w:val="99"/>
    <w:rPr>
      <w:rFonts w:cs="Times New Roman"/>
      <w:color w:val="000000"/>
      <w:kern w:val="0"/>
      <w:sz w:val="18"/>
      <w:szCs w:val="18"/>
    </w:rPr>
  </w:style>
  <w:style w:type="character" w:customStyle="1" w:styleId="32">
    <w:name w:val="标题 Char"/>
    <w:basedOn w:val="17"/>
    <w:link w:val="14"/>
    <w:qFormat/>
    <w:locked/>
    <w:uiPriority w:val="99"/>
    <w:rPr>
      <w:rFonts w:ascii="Cambria" w:hAnsi="Cambria" w:cs="Cambria"/>
      <w:b/>
      <w:bCs/>
      <w:color w:val="000000"/>
      <w:kern w:val="0"/>
      <w:sz w:val="32"/>
      <w:szCs w:val="32"/>
    </w:rPr>
  </w:style>
  <w:style w:type="character" w:customStyle="1" w:styleId="33">
    <w:name w:val="默认段落字体 Char"/>
    <w:qFormat/>
    <w:uiPriority w:val="99"/>
    <w:rPr>
      <w:rFonts w:ascii="Times New Roman" w:hAnsi="Times New Roman" w:eastAsia="宋体"/>
      <w:color w:val="000000"/>
      <w:spacing w:val="0"/>
      <w:w w:val="100"/>
      <w:sz w:val="21"/>
      <w:vertAlign w:val="baseline"/>
    </w:rPr>
  </w:style>
  <w:style w:type="character" w:customStyle="1" w:styleId="34">
    <w:name w:val="链接"/>
    <w:basedOn w:val="17"/>
    <w:qFormat/>
    <w:uiPriority w:val="99"/>
    <w:rPr>
      <w:rFonts w:ascii="Times New Roman" w:hAnsi="Times New Roman" w:eastAsia="宋体" w:cs="Times New Roman"/>
      <w:color w:val="0000FF"/>
      <w:sz w:val="21"/>
      <w:szCs w:val="21"/>
      <w:u w:val="single" w:color="0000FF"/>
      <w:vertAlign w:val="baseline"/>
    </w:rPr>
  </w:style>
  <w:style w:type="character" w:customStyle="1" w:styleId="35">
    <w:name w:val="超级链接"/>
    <w:basedOn w:val="33"/>
    <w:qFormat/>
    <w:uiPriority w:val="99"/>
    <w:rPr>
      <w:rFonts w:cs="Times New Roman"/>
      <w:color w:val="0000FF"/>
      <w:szCs w:val="21"/>
      <w:u w:val="single" w:color="0000FF"/>
    </w:rPr>
  </w:style>
  <w:style w:type="paragraph" w:customStyle="1" w:styleId="36">
    <w:name w:val="WPS Plain"/>
    <w:qFormat/>
    <w:uiPriority w:val="99"/>
    <w:rPr>
      <w:rFonts w:ascii="Times New Roman" w:hAnsi="Times New Roman" w:eastAsia="宋体" w:cs="Times New Roman"/>
      <w:lang w:val="en-US" w:eastAsia="zh-CN" w:bidi="ar-SA"/>
    </w:rPr>
  </w:style>
  <w:style w:type="paragraph" w:customStyle="1" w:styleId="37">
    <w:name w:val="普通表格1"/>
    <w:qFormat/>
    <w:uiPriority w:val="99"/>
    <w:rPr>
      <w:rFonts w:ascii="Times New Roman" w:hAnsi="Times New Roman" w:eastAsia="宋体" w:cs="Times New Roman"/>
      <w:lang w:val="en-US" w:eastAsia="zh-CN" w:bidi="ar-SA"/>
    </w:rPr>
  </w:style>
  <w:style w:type="paragraph" w:customStyle="1" w:styleId="38">
    <w:name w:val="目录标题"/>
    <w:basedOn w:val="1"/>
    <w:next w:val="1"/>
    <w:qFormat/>
    <w:uiPriority w:val="99"/>
    <w:pPr>
      <w:spacing w:before="567" w:after="545" w:line="808" w:lineRule="atLeast"/>
      <w:jc w:val="center"/>
    </w:pPr>
    <w:rPr>
      <w:rFonts w:ascii="Arial" w:hAnsi="Arial" w:eastAsia="黑体" w:cs="Arial"/>
      <w:spacing w:val="283"/>
      <w:sz w:val="52"/>
      <w:szCs w:val="52"/>
    </w:rPr>
  </w:style>
  <w:style w:type="paragraph" w:customStyle="1" w:styleId="39">
    <w:name w:val="无列表1"/>
    <w:qFormat/>
    <w:uiPriority w:val="99"/>
    <w:rPr>
      <w:rFonts w:ascii="Times New Roman" w:hAnsi="Times New Roman" w:eastAsia="宋体" w:cs="Times New Roman"/>
      <w:lang w:val="en-US" w:eastAsia="zh-CN" w:bidi="ar-SA"/>
    </w:rPr>
  </w:style>
  <w:style w:type="paragraph" w:customStyle="1" w:styleId="40">
    <w:name w:val="0"/>
    <w:basedOn w:val="1"/>
    <w:qFormat/>
    <w:uiPriority w:val="99"/>
    <w:pPr>
      <w:widowControl/>
      <w:snapToGrid w:val="0"/>
      <w:spacing w:line="240" w:lineRule="auto"/>
      <w:ind w:left="0" w:firstLine="0"/>
      <w:textAlignment w:val="auto"/>
    </w:pPr>
    <w:rPr>
      <w:color w:val="auto"/>
    </w:rPr>
  </w:style>
  <w:style w:type="paragraph" w:customStyle="1" w:styleId="41">
    <w:name w:val="文章附标题"/>
    <w:basedOn w:val="1"/>
    <w:qFormat/>
    <w:uiPriority w:val="99"/>
    <w:pPr>
      <w:spacing w:before="187" w:after="176" w:line="607" w:lineRule="atLeast"/>
      <w:ind w:firstLine="0"/>
      <w:jc w:val="center"/>
    </w:pPr>
    <w:rPr>
      <w:sz w:val="36"/>
      <w:szCs w:val="36"/>
    </w:rPr>
  </w:style>
  <w:style w:type="paragraph" w:styleId="42">
    <w:name w:val="List Paragraph"/>
    <w:basedOn w:val="1"/>
    <w:qFormat/>
    <w:uiPriority w:val="99"/>
    <w:pPr>
      <w:spacing w:line="240" w:lineRule="auto"/>
      <w:ind w:left="0" w:firstLine="200" w:firstLineChars="200"/>
      <w:textAlignment w:val="auto"/>
    </w:pPr>
    <w:rPr>
      <w:rFonts w:ascii="Calibri" w:hAnsi="Calibri"/>
      <w:color w:val="auto"/>
      <w:kern w:val="2"/>
      <w:szCs w:val="22"/>
    </w:rPr>
  </w:style>
  <w:style w:type="character" w:customStyle="1" w:styleId="43">
    <w:name w:val="hover7"/>
    <w:basedOn w:val="17"/>
    <w:qFormat/>
    <w:uiPriority w:val="0"/>
    <w:rPr>
      <w:shd w:val="clear" w:fill="F3F3F3"/>
    </w:rPr>
  </w:style>
  <w:style w:type="character" w:customStyle="1" w:styleId="44">
    <w:name w:val="hover8"/>
    <w:basedOn w:val="17"/>
    <w:qFormat/>
    <w:uiPriority w:val="0"/>
    <w:rPr>
      <w:sz w:val="21"/>
      <w:szCs w:val="21"/>
    </w:rPr>
  </w:style>
  <w:style w:type="character" w:customStyle="1" w:styleId="45">
    <w:name w:val="hover9"/>
    <w:basedOn w:val="17"/>
    <w:qFormat/>
    <w:uiPriority w:val="0"/>
    <w:rPr>
      <w:shd w:val="clear" w:fill="F3F3F3"/>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98810-EC79-46DD-BFC0-1997FCBF0E0E}">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11</Pages>
  <Words>5604</Words>
  <Characters>6171</Characters>
  <Lines>41</Lines>
  <Paragraphs>11</Paragraphs>
  <TotalTime>5</TotalTime>
  <ScaleCrop>false</ScaleCrop>
  <LinksUpToDate>false</LinksUpToDate>
  <CharactersWithSpaces>6215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2021-09-30T02:02:00Z</dcterms:created>
  <dc:creator>Administrator</dc:creator>
  <cp:lastModifiedBy>sjyzx</cp:lastModifiedBy>
  <cp:lastPrinted>2023-06-27T03:08:28Z</cp:lastPrinted>
  <dcterms:modified xsi:type="dcterms:W3CDTF">2023-06-27T03:09:19Z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F463088E797F4E3ABC19AC6100DAE947_13</vt:lpwstr>
  </property>
</Properties>
</file>