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000000" w:themeColor="text1"/>
          <w:sz w:val="44"/>
          <w:szCs w:val="44"/>
          <w14:textFill>
            <w14:solidFill>
              <w14:schemeClr w14:val="tx1"/>
            </w14:solidFill>
          </w14:textFill>
        </w:rPr>
      </w:pP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乌海市公共资源交易中心</w:t>
      </w: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国有土地使用权挂牌出让公告</w:t>
      </w:r>
    </w:p>
    <w:p>
      <w:pPr>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21</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经乌海市</w:t>
      </w:r>
      <w:r>
        <w:rPr>
          <w:rFonts w:hint="eastAsia" w:ascii="仿宋" w:hAnsi="仿宋" w:eastAsia="仿宋" w:cs="FangSong_GB2312"/>
          <w:color w:val="auto"/>
          <w:sz w:val="32"/>
          <w:szCs w:val="32"/>
          <w:lang w:eastAsia="zh-CN"/>
        </w:rPr>
        <w:t>乌达</w:t>
      </w:r>
      <w:r>
        <w:rPr>
          <w:rFonts w:hint="eastAsia" w:ascii="仿宋" w:hAnsi="仿宋" w:eastAsia="仿宋" w:cs="FangSong_GB2312"/>
          <w:color w:val="auto"/>
          <w:sz w:val="32"/>
          <w:szCs w:val="32"/>
        </w:rPr>
        <w:t>区人民政府批准，乌海市自然资源局</w:t>
      </w:r>
      <w:r>
        <w:rPr>
          <w:rFonts w:hint="eastAsia" w:ascii="仿宋" w:hAnsi="仿宋" w:eastAsia="仿宋" w:cs="FangSong_GB2312"/>
          <w:color w:val="auto"/>
          <w:sz w:val="32"/>
          <w:szCs w:val="32"/>
          <w:lang w:eastAsia="zh-CN"/>
        </w:rPr>
        <w:t>乌达</w:t>
      </w:r>
      <w:r>
        <w:rPr>
          <w:rFonts w:hint="eastAsia" w:ascii="仿宋" w:hAnsi="仿宋" w:eastAsia="仿宋" w:cs="FangSong_GB2312"/>
          <w:color w:val="auto"/>
          <w:sz w:val="32"/>
          <w:szCs w:val="32"/>
        </w:rPr>
        <w:t>分局以挂牌方式出让</w:t>
      </w:r>
      <w:r>
        <w:rPr>
          <w:rFonts w:hint="eastAsia" w:ascii="仿宋" w:hAnsi="仿宋" w:eastAsia="仿宋" w:cs="FangSong_GB2312"/>
          <w:color w:val="auto"/>
          <w:sz w:val="32"/>
          <w:szCs w:val="32"/>
          <w:lang w:val="en-US" w:eastAsia="zh-CN"/>
        </w:rPr>
        <w:t>2</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5"/>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653"/>
        <w:gridCol w:w="972"/>
        <w:gridCol w:w="1059"/>
        <w:gridCol w:w="655"/>
        <w:gridCol w:w="618"/>
        <w:gridCol w:w="756"/>
        <w:gridCol w:w="630"/>
        <w:gridCol w:w="807"/>
        <w:gridCol w:w="794"/>
        <w:gridCol w:w="630"/>
        <w:gridCol w:w="99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序号</w:t>
            </w:r>
          </w:p>
        </w:tc>
        <w:tc>
          <w:tcPr>
            <w:tcW w:w="653"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编号</w:t>
            </w:r>
          </w:p>
        </w:tc>
        <w:tc>
          <w:tcPr>
            <w:tcW w:w="972" w:type="dxa"/>
            <w:vMerge w:val="restart"/>
            <w:vAlign w:val="center"/>
          </w:tcPr>
          <w:p>
            <w:pPr>
              <w:spacing w:line="300" w:lineRule="exact"/>
              <w:ind w:left="0" w:firstLine="0"/>
              <w:jc w:val="center"/>
              <w:rPr>
                <w:rFonts w:hint="eastAsia" w:ascii="仿宋" w:hAnsi="仿宋" w:eastAsia="仿宋"/>
                <w:color w:val="auto"/>
                <w:sz w:val="18"/>
                <w:szCs w:val="18"/>
              </w:rPr>
            </w:pPr>
            <w:r>
              <w:rPr>
                <w:rFonts w:hint="eastAsia" w:ascii="仿宋" w:hAnsi="仿宋" w:eastAsia="仿宋"/>
                <w:color w:val="auto"/>
                <w:sz w:val="18"/>
                <w:szCs w:val="18"/>
              </w:rPr>
              <w:t>土地位置</w:t>
            </w:r>
          </w:p>
        </w:tc>
        <w:tc>
          <w:tcPr>
            <w:tcW w:w="1059" w:type="dxa"/>
            <w:vMerge w:val="restart"/>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土地面积</w:t>
            </w:r>
            <w:r>
              <w:rPr>
                <w:rFonts w:ascii="仿宋" w:hAnsi="仿宋" w:eastAsia="仿宋" w:cs="FangSong_GB2312falt"/>
                <w:b/>
                <w:bCs/>
                <w:color w:val="auto"/>
                <w:sz w:val="18"/>
                <w:szCs w:val="18"/>
              </w:rPr>
              <w:t>(m</w:t>
            </w:r>
            <w:r>
              <w:rPr>
                <w:rFonts w:ascii="仿宋" w:hAnsi="仿宋" w:eastAsia="仿宋" w:cs="FangSong_GB2312falt"/>
                <w:b/>
                <w:bCs/>
                <w:color w:val="auto"/>
                <w:sz w:val="18"/>
                <w:szCs w:val="18"/>
                <w:vertAlign w:val="superscript"/>
              </w:rPr>
              <w:t>2</w:t>
            </w:r>
            <w:r>
              <w:rPr>
                <w:rFonts w:hint="eastAsia" w:ascii="仿宋" w:hAnsi="仿宋" w:eastAsia="仿宋" w:cs="FangSong_GB2312falt"/>
                <w:b/>
                <w:bCs/>
                <w:color w:val="auto"/>
                <w:sz w:val="18"/>
                <w:szCs w:val="18"/>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lang w:val="en-US" w:eastAsia="zh-CN"/>
              </w:rPr>
              <w:t>土地</w:t>
            </w:r>
          </w:p>
          <w:p>
            <w:pPr>
              <w:spacing w:line="280" w:lineRule="exact"/>
              <w:ind w:left="0" w:firstLine="0"/>
              <w:jc w:val="center"/>
              <w:rPr>
                <w:rFonts w:hint="eastAsia" w:ascii="仿宋" w:hAnsi="仿宋" w:eastAsia="仿宋"/>
                <w:color w:val="auto"/>
                <w:sz w:val="18"/>
                <w:szCs w:val="18"/>
                <w:lang w:val="en-US" w:eastAsia="zh-CN"/>
              </w:rPr>
            </w:pPr>
            <w:r>
              <w:rPr>
                <w:rFonts w:hint="eastAsia" w:ascii="仿宋" w:hAnsi="仿宋" w:eastAsia="仿宋" w:cs="FangSong_GB2312falt"/>
                <w:b/>
                <w:bCs/>
                <w:color w:val="auto"/>
                <w:sz w:val="18"/>
                <w:szCs w:val="18"/>
                <w:lang w:val="en-US" w:eastAsia="zh-CN"/>
              </w:rPr>
              <w:t>用途</w:t>
            </w:r>
          </w:p>
        </w:tc>
        <w:tc>
          <w:tcPr>
            <w:tcW w:w="2811"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auto"/>
                <w:sz w:val="18"/>
                <w:szCs w:val="18"/>
              </w:rPr>
            </w:pPr>
            <w:r>
              <w:rPr>
                <w:rFonts w:hint="eastAsia" w:ascii="仿宋" w:hAnsi="仿宋" w:eastAsia="仿宋" w:cs="FangSong_GB2312falt"/>
                <w:b/>
                <w:bCs/>
                <w:color w:val="auto"/>
                <w:sz w:val="18"/>
                <w:szCs w:val="18"/>
              </w:rPr>
              <w:t>规划指标要求</w:t>
            </w:r>
          </w:p>
        </w:tc>
        <w:tc>
          <w:tcPr>
            <w:tcW w:w="794"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rPr>
            </w:pPr>
          </w:p>
        </w:tc>
        <w:tc>
          <w:tcPr>
            <w:tcW w:w="630"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出让</w:t>
            </w:r>
          </w:p>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年限（年）</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起挂价</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保证金</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62" w:type="dxa"/>
            <w:vMerge w:val="continue"/>
            <w:vAlign w:val="center"/>
          </w:tcPr>
          <w:p>
            <w:pPr>
              <w:spacing w:line="280" w:lineRule="exact"/>
              <w:ind w:left="0" w:firstLine="0"/>
              <w:jc w:val="center"/>
              <w:rPr>
                <w:rFonts w:ascii="仿宋" w:hAnsi="仿宋" w:eastAsia="仿宋"/>
                <w:color w:val="auto"/>
                <w:sz w:val="18"/>
                <w:szCs w:val="18"/>
              </w:rPr>
            </w:pPr>
          </w:p>
        </w:tc>
        <w:tc>
          <w:tcPr>
            <w:tcW w:w="653" w:type="dxa"/>
            <w:vMerge w:val="continue"/>
            <w:vAlign w:val="center"/>
          </w:tcPr>
          <w:p>
            <w:pPr>
              <w:spacing w:line="280" w:lineRule="exact"/>
              <w:ind w:left="0" w:firstLine="0"/>
              <w:jc w:val="center"/>
              <w:rPr>
                <w:rFonts w:ascii="仿宋" w:hAnsi="仿宋" w:eastAsia="仿宋"/>
                <w:color w:val="auto"/>
                <w:sz w:val="18"/>
                <w:szCs w:val="18"/>
              </w:rPr>
            </w:pPr>
          </w:p>
        </w:tc>
        <w:tc>
          <w:tcPr>
            <w:tcW w:w="972" w:type="dxa"/>
            <w:vMerge w:val="continue"/>
            <w:vAlign w:val="center"/>
          </w:tcPr>
          <w:p>
            <w:pPr>
              <w:spacing w:line="300" w:lineRule="exact"/>
              <w:ind w:left="0" w:firstLine="0"/>
              <w:jc w:val="center"/>
              <w:rPr>
                <w:rFonts w:hint="eastAsia" w:ascii="仿宋" w:hAnsi="仿宋" w:eastAsia="仿宋"/>
                <w:color w:val="auto"/>
                <w:sz w:val="18"/>
                <w:szCs w:val="18"/>
              </w:rPr>
            </w:pPr>
          </w:p>
        </w:tc>
        <w:tc>
          <w:tcPr>
            <w:tcW w:w="1059" w:type="dxa"/>
            <w:vMerge w:val="continue"/>
            <w:vAlign w:val="center"/>
          </w:tcPr>
          <w:p>
            <w:pPr>
              <w:spacing w:line="280" w:lineRule="exact"/>
              <w:ind w:left="0" w:firstLine="0"/>
              <w:jc w:val="center"/>
              <w:rPr>
                <w:rFonts w:ascii="仿宋" w:hAnsi="仿宋" w:eastAsia="仿宋"/>
                <w:b/>
                <w:bCs/>
                <w:color w:val="auto"/>
                <w:sz w:val="18"/>
                <w:szCs w:val="18"/>
              </w:rPr>
            </w:pPr>
          </w:p>
        </w:tc>
        <w:tc>
          <w:tcPr>
            <w:tcW w:w="655" w:type="dxa"/>
            <w:vMerge w:val="continue"/>
            <w:vAlign w:val="center"/>
          </w:tcPr>
          <w:p>
            <w:pPr>
              <w:spacing w:line="300" w:lineRule="exact"/>
              <w:ind w:left="0" w:firstLine="0"/>
              <w:jc w:val="center"/>
              <w:rPr>
                <w:rFonts w:hint="eastAsia" w:ascii="仿宋" w:hAnsi="仿宋" w:eastAsia="仿宋"/>
                <w:color w:val="auto"/>
                <w:sz w:val="18"/>
                <w:szCs w:val="18"/>
                <w:lang w:val="en-US" w:eastAsia="zh-CN"/>
              </w:rPr>
            </w:pPr>
          </w:p>
        </w:tc>
        <w:tc>
          <w:tcPr>
            <w:tcW w:w="618" w:type="dxa"/>
            <w:vAlign w:val="center"/>
          </w:tcPr>
          <w:p>
            <w:pPr>
              <w:spacing w:line="24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容积率</w:t>
            </w:r>
          </w:p>
        </w:tc>
        <w:tc>
          <w:tcPr>
            <w:tcW w:w="756" w:type="dxa"/>
            <w:vAlign w:val="center"/>
          </w:tcPr>
          <w:p>
            <w:pPr>
              <w:pStyle w:val="30"/>
              <w:spacing w:line="240" w:lineRule="exact"/>
              <w:jc w:val="center"/>
              <w:textAlignment w:val="center"/>
              <w:rPr>
                <w:rFonts w:ascii="仿宋" w:hAnsi="仿宋" w:eastAsia="仿宋" w:cs="FangSong_GB2312falt"/>
                <w:b/>
                <w:bCs/>
                <w:color w:val="auto"/>
                <w:sz w:val="18"/>
                <w:szCs w:val="18"/>
              </w:rPr>
            </w:pPr>
            <w:r>
              <w:rPr>
                <w:rFonts w:hint="eastAsia" w:ascii="仿宋" w:hAnsi="仿宋" w:eastAsia="仿宋"/>
                <w:b/>
                <w:color w:val="auto"/>
                <w:sz w:val="18"/>
                <w:szCs w:val="18"/>
              </w:rPr>
              <w:t>建筑限高</w:t>
            </w:r>
          </w:p>
        </w:tc>
        <w:tc>
          <w:tcPr>
            <w:tcW w:w="630" w:type="dxa"/>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建筑</w:t>
            </w:r>
            <w:r>
              <w:rPr>
                <w:rFonts w:hint="eastAsia" w:ascii="仿宋" w:hAnsi="仿宋" w:eastAsia="仿宋" w:cs="FangSong_GB2312falt"/>
                <w:b/>
                <w:bCs/>
                <w:color w:val="auto"/>
                <w:sz w:val="18"/>
                <w:szCs w:val="18"/>
                <w:lang w:eastAsia="zh-CN"/>
              </w:rPr>
              <w:t>密度</w:t>
            </w:r>
          </w:p>
        </w:tc>
        <w:tc>
          <w:tcPr>
            <w:tcW w:w="807"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绿地率</w:t>
            </w:r>
          </w:p>
        </w:tc>
        <w:tc>
          <w:tcPr>
            <w:tcW w:w="794"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auto"/>
                <w:sz w:val="18"/>
                <w:szCs w:val="18"/>
                <w:lang w:eastAsia="zh-CN"/>
              </w:rPr>
            </w:pPr>
            <w:r>
              <w:rPr>
                <w:rFonts w:hint="eastAsia" w:ascii="仿宋" w:hAnsi="仿宋" w:eastAsia="仿宋"/>
                <w:b/>
                <w:bCs/>
                <w:color w:val="auto"/>
                <w:sz w:val="18"/>
                <w:szCs w:val="18"/>
                <w:lang w:eastAsia="zh-CN"/>
              </w:rPr>
              <w:t>投资强度</w:t>
            </w:r>
          </w:p>
        </w:tc>
        <w:tc>
          <w:tcPr>
            <w:tcW w:w="630"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8"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1</w:t>
            </w:r>
          </w:p>
        </w:tc>
        <w:tc>
          <w:tcPr>
            <w:tcW w:w="653" w:type="dxa"/>
            <w:vAlign w:val="center"/>
          </w:tcPr>
          <w:p>
            <w:pPr>
              <w:spacing w:line="300" w:lineRule="exact"/>
              <w:ind w:left="0" w:firstLine="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B-21-01</w:t>
            </w:r>
          </w:p>
        </w:tc>
        <w:tc>
          <w:tcPr>
            <w:tcW w:w="972" w:type="dxa"/>
            <w:vAlign w:val="center"/>
          </w:tcPr>
          <w:p>
            <w:pPr>
              <w:spacing w:line="300" w:lineRule="exact"/>
              <w:ind w:left="0" w:firstLine="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团结路以东、民达街以南、北经五路以西、爱民街以北（乌达区）</w:t>
            </w:r>
          </w:p>
        </w:tc>
        <w:tc>
          <w:tcPr>
            <w:tcW w:w="1059"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34378（约51.57亩）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 xml:space="preserve"> 居住</w:t>
            </w:r>
          </w:p>
          <w:p>
            <w:pPr>
              <w:spacing w:line="300" w:lineRule="exact"/>
              <w:ind w:left="0" w:leftChars="0" w:firstLine="0" w:firstLineChars="0"/>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Cs w:val="21"/>
                <w:lang w:val="en-US" w:eastAsia="zh-CN"/>
              </w:rPr>
              <w:t xml:space="preserve"> 兼容商业</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default" w:ascii="仿宋_GB2312" w:hAnsi="宋体" w:eastAsia="仿宋_GB2312" w:cs="宋体"/>
                <w:color w:val="auto"/>
                <w:kern w:val="0"/>
                <w:szCs w:val="21"/>
                <w:lang w:val="en-US" w:eastAsia="zh-CN"/>
              </w:rPr>
              <w:t>≤1.</w:t>
            </w:r>
            <w:r>
              <w:rPr>
                <w:rFonts w:hint="eastAsia" w:ascii="仿宋_GB2312" w:hAnsi="宋体" w:eastAsia="仿宋_GB2312" w:cs="宋体"/>
                <w:color w:val="auto"/>
                <w:kern w:val="0"/>
                <w:szCs w:val="21"/>
                <w:lang w:val="en-US" w:eastAsia="zh-CN"/>
              </w:rPr>
              <w:t>8</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≤60米</w:t>
            </w:r>
          </w:p>
        </w:tc>
        <w:tc>
          <w:tcPr>
            <w:tcW w:w="630" w:type="dxa"/>
            <w:vAlign w:val="top"/>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p>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p>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default"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lang w:val="en-US" w:eastAsia="zh-CN"/>
              </w:rPr>
              <w:t>0</w:t>
            </w:r>
            <w:r>
              <w:rPr>
                <w:rFonts w:hint="default" w:ascii="仿宋_GB2312" w:hAnsi="宋体" w:eastAsia="仿宋_GB2312" w:cs="宋体"/>
                <w:color w:val="auto"/>
                <w:kern w:val="0"/>
                <w:szCs w:val="21"/>
                <w:lang w:val="en-US" w:eastAsia="zh-CN"/>
              </w:rPr>
              <w:t>%</w:t>
            </w:r>
          </w:p>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default" w:ascii="仿宋_GB2312" w:hAnsi="宋体" w:eastAsia="仿宋_GB2312" w:cs="宋体"/>
                <w:color w:val="auto"/>
                <w:kern w:val="0"/>
                <w:szCs w:val="21"/>
                <w:lang w:val="en-US" w:eastAsia="zh-CN"/>
              </w:rPr>
              <w:t>≥30%</w:t>
            </w:r>
          </w:p>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p>
        </w:tc>
        <w:tc>
          <w:tcPr>
            <w:tcW w:w="630"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default" w:ascii="仿宋_GB2312" w:hAnsi="宋体" w:eastAsia="仿宋_GB2312" w:cs="宋体"/>
                <w:color w:val="auto"/>
                <w:kern w:val="0"/>
                <w:szCs w:val="21"/>
                <w:lang w:val="en-US" w:eastAsia="zh-CN"/>
              </w:rPr>
              <w:t>居住用地：70年            商业用地：40年</w:t>
            </w:r>
          </w:p>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p>
        </w:tc>
        <w:tc>
          <w:tcPr>
            <w:tcW w:w="996"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2155.5006</w:t>
            </w:r>
          </w:p>
        </w:tc>
        <w:tc>
          <w:tcPr>
            <w:tcW w:w="996" w:type="dxa"/>
            <w:vAlign w:val="center"/>
          </w:tcPr>
          <w:p>
            <w:pPr>
              <w:spacing w:line="300" w:lineRule="exact"/>
              <w:ind w:left="0" w:leftChars="0" w:firstLine="0" w:firstLineChars="0"/>
              <w:jc w:val="both"/>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2155.5006</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8" w:hRule="atLeast"/>
          <w:jc w:val="center"/>
        </w:trPr>
        <w:tc>
          <w:tcPr>
            <w:tcW w:w="262" w:type="dxa"/>
            <w:vAlign w:val="center"/>
          </w:tcPr>
          <w:p>
            <w:pPr>
              <w:pStyle w:val="30"/>
              <w:jc w:val="center"/>
              <w:rPr>
                <w:rFonts w:hint="default" w:ascii="仿宋" w:hAnsi="仿宋" w:eastAsia="仿宋"/>
                <w:color w:val="auto"/>
                <w:lang w:val="en-US" w:eastAsia="zh-CN"/>
              </w:rPr>
            </w:pPr>
            <w:r>
              <w:rPr>
                <w:rFonts w:hint="eastAsia" w:ascii="仿宋" w:hAnsi="仿宋" w:eastAsia="仿宋"/>
                <w:color w:val="auto"/>
                <w:lang w:val="en-US" w:eastAsia="zh-CN"/>
              </w:rPr>
              <w:t>2</w:t>
            </w:r>
          </w:p>
        </w:tc>
        <w:tc>
          <w:tcPr>
            <w:tcW w:w="653" w:type="dxa"/>
            <w:vAlign w:val="center"/>
          </w:tcPr>
          <w:p>
            <w:pPr>
              <w:spacing w:line="300" w:lineRule="exact"/>
              <w:ind w:left="0" w:firstLine="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B-21-02</w:t>
            </w:r>
          </w:p>
        </w:tc>
        <w:tc>
          <w:tcPr>
            <w:tcW w:w="972"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北经五路以东、民达街以南、北经六路以西、爱民街以北（乌达区）</w:t>
            </w:r>
          </w:p>
        </w:tc>
        <w:tc>
          <w:tcPr>
            <w:tcW w:w="1059"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63417（约95.13亩）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 xml:space="preserve"> 居住</w:t>
            </w:r>
          </w:p>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 xml:space="preserve"> 兼容商业</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default" w:ascii="仿宋_GB2312" w:hAnsi="宋体" w:eastAsia="仿宋_GB2312" w:cs="宋体"/>
                <w:color w:val="auto"/>
                <w:kern w:val="0"/>
                <w:szCs w:val="21"/>
                <w:lang w:val="en-US" w:eastAsia="zh-CN"/>
              </w:rPr>
              <w:t>≤1.</w:t>
            </w:r>
            <w:r>
              <w:rPr>
                <w:rFonts w:hint="eastAsia" w:ascii="仿宋_GB2312" w:hAnsi="宋体" w:eastAsia="仿宋_GB2312" w:cs="宋体"/>
                <w:color w:val="auto"/>
                <w:kern w:val="0"/>
                <w:szCs w:val="21"/>
                <w:lang w:val="en-US" w:eastAsia="zh-CN"/>
              </w:rPr>
              <w:t>8</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≤60米</w:t>
            </w:r>
          </w:p>
        </w:tc>
        <w:tc>
          <w:tcPr>
            <w:tcW w:w="630" w:type="dxa"/>
            <w:vAlign w:val="top"/>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p>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p>
          <w:p>
            <w:pPr>
              <w:spacing w:line="300" w:lineRule="exact"/>
              <w:ind w:left="0" w:leftChars="0" w:firstLine="0" w:firstLineChars="0"/>
              <w:jc w:val="both"/>
              <w:rPr>
                <w:rFonts w:hint="default" w:ascii="仿宋_GB2312" w:hAnsi="宋体" w:eastAsia="仿宋_GB2312" w:cs="宋体"/>
                <w:color w:val="auto"/>
                <w:kern w:val="0"/>
                <w:szCs w:val="21"/>
                <w:lang w:val="en-US" w:eastAsia="zh-CN"/>
              </w:rPr>
            </w:pPr>
            <w:r>
              <w:rPr>
                <w:rFonts w:hint="default"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lang w:val="en-US" w:eastAsia="zh-CN"/>
              </w:rPr>
              <w:t>0</w:t>
            </w:r>
            <w:r>
              <w:rPr>
                <w:rFonts w:hint="default" w:ascii="仿宋_GB2312" w:hAnsi="宋体" w:eastAsia="仿宋_GB2312" w:cs="宋体"/>
                <w:color w:val="auto"/>
                <w:kern w:val="0"/>
                <w:szCs w:val="21"/>
                <w:lang w:val="en-US" w:eastAsia="zh-CN"/>
              </w:rPr>
              <w:t>%</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default" w:ascii="仿宋_GB2312" w:hAnsi="宋体" w:eastAsia="仿宋_GB2312" w:cs="宋体"/>
                <w:color w:val="auto"/>
                <w:kern w:val="0"/>
                <w:szCs w:val="21"/>
                <w:lang w:val="en-US" w:eastAsia="zh-CN"/>
              </w:rPr>
              <w:t>≥30%</w:t>
            </w:r>
          </w:p>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p>
        </w:tc>
        <w:tc>
          <w:tcPr>
            <w:tcW w:w="630"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default" w:ascii="仿宋_GB2312" w:hAnsi="宋体" w:eastAsia="仿宋_GB2312" w:cs="宋体"/>
                <w:color w:val="auto"/>
                <w:kern w:val="0"/>
                <w:szCs w:val="21"/>
                <w:lang w:val="en-US" w:eastAsia="zh-CN"/>
              </w:rPr>
              <w:t>居住用地：70年            商业用地：40年</w:t>
            </w:r>
          </w:p>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p>
        </w:tc>
        <w:tc>
          <w:tcPr>
            <w:tcW w:w="996"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bookmarkStart w:id="0" w:name="_GoBack"/>
            <w:r>
              <w:rPr>
                <w:rFonts w:hint="default" w:ascii="仿宋_GB2312" w:hAnsi="宋体" w:eastAsia="仿宋_GB2312" w:cs="宋体"/>
                <w:color w:val="auto"/>
                <w:kern w:val="0"/>
                <w:szCs w:val="21"/>
                <w:lang w:val="en-US" w:eastAsia="zh-CN"/>
              </w:rPr>
              <w:t>3950</w:t>
            </w:r>
            <w:r>
              <w:rPr>
                <w:rFonts w:hint="eastAsia" w:ascii="仿宋_GB2312" w:hAnsi="宋体" w:eastAsia="仿宋_GB2312" w:cs="宋体"/>
                <w:color w:val="auto"/>
                <w:kern w:val="0"/>
                <w:szCs w:val="21"/>
                <w:lang w:val="en-US" w:eastAsia="zh-CN"/>
              </w:rPr>
              <w:t>.</w:t>
            </w:r>
            <w:r>
              <w:rPr>
                <w:rFonts w:hint="default" w:ascii="仿宋_GB2312" w:hAnsi="宋体" w:eastAsia="仿宋_GB2312" w:cs="宋体"/>
                <w:color w:val="auto"/>
                <w:kern w:val="0"/>
                <w:szCs w:val="21"/>
                <w:lang w:val="en-US" w:eastAsia="zh-CN"/>
              </w:rPr>
              <w:t>8791</w:t>
            </w:r>
            <w:bookmarkEnd w:id="0"/>
          </w:p>
        </w:tc>
        <w:tc>
          <w:tcPr>
            <w:tcW w:w="996" w:type="dxa"/>
            <w:vAlign w:val="center"/>
          </w:tcPr>
          <w:p>
            <w:pPr>
              <w:spacing w:line="300" w:lineRule="exact"/>
              <w:ind w:left="0" w:leftChars="0" w:firstLine="0" w:firstLineChars="0"/>
              <w:jc w:val="both"/>
              <w:rPr>
                <w:rFonts w:hint="default" w:ascii="仿宋_GB2312" w:hAnsi="宋体" w:eastAsia="仿宋_GB2312" w:cs="宋体"/>
                <w:color w:val="auto"/>
                <w:kern w:val="0"/>
                <w:szCs w:val="21"/>
                <w:lang w:val="en-US" w:eastAsia="zh-CN"/>
              </w:rPr>
            </w:pPr>
            <w:r>
              <w:rPr>
                <w:rFonts w:hint="default" w:ascii="仿宋_GB2312" w:hAnsi="宋体" w:eastAsia="仿宋_GB2312" w:cs="宋体"/>
                <w:color w:val="auto"/>
                <w:kern w:val="0"/>
                <w:szCs w:val="21"/>
                <w:lang w:val="en-US" w:eastAsia="zh-CN"/>
              </w:rPr>
              <w:t>3950</w:t>
            </w:r>
            <w:r>
              <w:rPr>
                <w:rFonts w:hint="eastAsia" w:ascii="仿宋_GB2312" w:hAnsi="宋体" w:eastAsia="仿宋_GB2312" w:cs="宋体"/>
                <w:color w:val="auto"/>
                <w:kern w:val="0"/>
                <w:szCs w:val="21"/>
                <w:lang w:val="en-US" w:eastAsia="zh-CN"/>
              </w:rPr>
              <w:t>.</w:t>
            </w:r>
            <w:r>
              <w:rPr>
                <w:rFonts w:hint="default" w:ascii="仿宋_GB2312" w:hAnsi="宋体" w:eastAsia="仿宋_GB2312" w:cs="宋体"/>
                <w:color w:val="auto"/>
                <w:kern w:val="0"/>
                <w:szCs w:val="21"/>
                <w:lang w:val="en-US" w:eastAsia="zh-CN"/>
              </w:rPr>
              <w:t>8791</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三、</w:t>
      </w:r>
      <w:r>
        <w:rPr>
          <w:rStyle w:val="17"/>
          <w:rFonts w:hint="eastAsia" w:ascii="仿宋" w:hAnsi="仿宋" w:eastAsia="仿宋"/>
          <w:b w:val="0"/>
          <w:color w:val="auto"/>
          <w:sz w:val="32"/>
          <w:szCs w:val="32"/>
          <w:shd w:val="clear" w:color="auto" w:fill="FFFFFF"/>
        </w:rPr>
        <w:t>竞价原则</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bCs/>
          <w:color w:val="auto"/>
          <w:sz w:val="32"/>
          <w:szCs w:val="32"/>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四、本次挂牌出让的公告时间为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11</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30</w:t>
      </w:r>
      <w:r>
        <w:rPr>
          <w:rFonts w:hint="eastAsia" w:ascii="仿宋" w:hAnsi="仿宋" w:eastAsia="仿宋" w:cs="FangSong_GB2312"/>
          <w:color w:val="auto"/>
          <w:sz w:val="32"/>
          <w:szCs w:val="32"/>
          <w:highlight w:val="none"/>
        </w:rPr>
        <w:t>日，详细资料和具体要求，以挂牌出让文件为准。申请人可于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11</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8</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到乌海市公共资源交易中心或登陆网站（</w:t>
      </w:r>
      <w:r>
        <w:rPr>
          <w:rFonts w:ascii="仿宋" w:hAnsi="仿宋" w:eastAsia="仿宋" w:cs="FangSong_GB2312"/>
          <w:color w:val="auto"/>
          <w:sz w:val="32"/>
          <w:szCs w:val="32"/>
        </w:rPr>
        <w:t>http:// zrzy.wuhai.gov.cn/</w:t>
      </w:r>
      <w:r>
        <w:rPr>
          <w:rFonts w:hint="eastAsia" w:ascii="仿宋" w:hAnsi="仿宋" w:eastAsia="仿宋" w:cs="FangSong_GB2312"/>
          <w:color w:val="auto"/>
          <w:sz w:val="32"/>
          <w:szCs w:val="32"/>
        </w:rPr>
        <w:t>或</w:t>
      </w:r>
      <w:r>
        <w:rPr>
          <w:rFonts w:ascii="仿宋" w:hAnsi="仿宋" w:eastAsia="仿宋" w:cs="FangSong_GB2312"/>
          <w:color w:val="auto"/>
          <w:sz w:val="32"/>
          <w:szCs w:val="32"/>
        </w:rPr>
        <w:t>http://www.whggzy.com</w:t>
      </w:r>
      <w:r>
        <w:rPr>
          <w:rFonts w:hint="eastAsia" w:ascii="仿宋" w:hAnsi="仿宋" w:eastAsia="仿宋" w:cs="FangSong_GB2312"/>
          <w:color w:val="auto"/>
          <w:sz w:val="32"/>
          <w:szCs w:val="32"/>
        </w:rPr>
        <w:t>）或内蒙古自治区网上交易系统（</w:t>
      </w:r>
      <w:r>
        <w:rPr>
          <w:rFonts w:ascii="仿宋" w:hAnsi="仿宋" w:eastAsia="仿宋" w:cs="FangSong_GB2312"/>
          <w:color w:val="auto"/>
          <w:sz w:val="32"/>
          <w:szCs w:val="32"/>
        </w:rPr>
        <w:t>http://110.16.70.81:8090/trade-engine/trade/index</w:t>
      </w:r>
      <w:r>
        <w:rPr>
          <w:rFonts w:hint="eastAsia" w:ascii="仿宋" w:hAnsi="仿宋" w:eastAsia="仿宋" w:cs="FangSong_GB2312"/>
          <w:color w:val="auto"/>
          <w:sz w:val="32"/>
          <w:szCs w:val="32"/>
        </w:rPr>
        <w:t>）获取本次挂牌出让的出让须知和有关资料（不包括法定节假日）。</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五、本次挂牌地点为乌海市公共资源交易中心，</w:t>
      </w:r>
      <w:r>
        <w:rPr>
          <w:rFonts w:hint="eastAsia" w:ascii="仿宋" w:hAnsi="仿宋" w:eastAsia="仿宋" w:cs="FangSong_GB2312"/>
          <w:color w:val="auto"/>
          <w:sz w:val="32"/>
          <w:szCs w:val="32"/>
          <w:highlight w:val="none"/>
        </w:rPr>
        <w:t>挂牌时间为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31</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13</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（不包括法定节假日）。</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七、</w:t>
      </w:r>
      <w:r>
        <w:rPr>
          <w:rFonts w:hint="eastAsia" w:ascii="仿宋" w:hAnsi="仿宋" w:eastAsia="仿宋"/>
          <w:color w:val="auto"/>
          <w:sz w:val="32"/>
          <w:szCs w:val="32"/>
          <w:shd w:val="clear" w:color="auto" w:fill="FFFFFF"/>
        </w:rPr>
        <w:t>竞买保证金缴纳</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交纳竞买保证金的截止时间为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8</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http://www.whggzy.com</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http://ggzyjy.nmg.gov.cn/</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0" w:firstLineChars="200"/>
        <w:jc w:val="left"/>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十、乌海市公共资源交易中心联系人：</w:t>
      </w:r>
      <w:r>
        <w:rPr>
          <w:rFonts w:hint="eastAsia" w:ascii="仿宋" w:hAnsi="仿宋" w:eastAsia="仿宋"/>
          <w:color w:val="000000" w:themeColor="text1"/>
          <w:sz w:val="32"/>
          <w:szCs w:val="32"/>
          <w14:textFill>
            <w14:solidFill>
              <w14:schemeClr w14:val="tx1"/>
            </w14:solidFill>
          </w14:textFill>
        </w:rPr>
        <w:t xml:space="preserve">王工   张工 </w:t>
      </w:r>
    </w:p>
    <w:p>
      <w:pPr>
        <w:spacing w:line="560" w:lineRule="exact"/>
        <w:ind w:left="6380" w:leftChars="600" w:hanging="5120" w:hangingChars="1600"/>
        <w:jc w:val="left"/>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乌海市公共资源交易中心联系电话：0473-2999715  0473-2999760</w:t>
      </w:r>
    </w:p>
    <w:p>
      <w:pPr>
        <w:spacing w:line="560" w:lineRule="exact"/>
        <w:ind w:firstLine="1280" w:firstLineChars="400"/>
        <w:jc w:val="left"/>
        <w:textAlignment w:val="baseline"/>
        <w:rPr>
          <w:rFonts w:ascii="仿宋" w:hAnsi="仿宋" w:eastAsia="仿宋"/>
          <w:color w:val="auto"/>
          <w:sz w:val="32"/>
          <w:szCs w:val="32"/>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乌达</w:t>
      </w:r>
      <w:r>
        <w:rPr>
          <w:rFonts w:hint="eastAsia" w:ascii="仿宋" w:hAnsi="仿宋" w:eastAsia="仿宋"/>
          <w:color w:val="auto"/>
          <w:sz w:val="32"/>
          <w:szCs w:val="32"/>
        </w:rPr>
        <w:t>分局联系人:</w:t>
      </w:r>
      <w:r>
        <w:rPr>
          <w:rFonts w:hint="eastAsia" w:ascii="仿宋" w:hAnsi="仿宋" w:eastAsia="仿宋"/>
          <w:color w:val="auto"/>
          <w:sz w:val="32"/>
          <w:szCs w:val="32"/>
          <w:lang w:eastAsia="zh-CN"/>
        </w:rPr>
        <w:t>吴晋</w:t>
      </w:r>
      <w:r>
        <w:rPr>
          <w:rFonts w:hint="eastAsia" w:ascii="仿宋" w:hAnsi="仿宋" w:eastAsia="仿宋"/>
          <w:color w:val="auto"/>
          <w:sz w:val="32"/>
          <w:szCs w:val="32"/>
        </w:rPr>
        <w:t>美</w:t>
      </w:r>
    </w:p>
    <w:p>
      <w:pPr>
        <w:spacing w:line="560" w:lineRule="exact"/>
        <w:ind w:firstLine="1280" w:firstLineChars="400"/>
        <w:jc w:val="left"/>
        <w:textAlignment w:val="baseline"/>
        <w:rPr>
          <w:rStyle w:val="17"/>
          <w:rFonts w:hint="default" w:ascii="仿宋" w:hAnsi="仿宋" w:eastAsia="仿宋"/>
          <w:b w:val="0"/>
          <w:sz w:val="32"/>
          <w:szCs w:val="32"/>
          <w:lang w:val="en-US"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乌达</w:t>
      </w:r>
      <w:r>
        <w:rPr>
          <w:rFonts w:hint="eastAsia" w:ascii="仿宋" w:hAnsi="仿宋" w:eastAsia="仿宋"/>
          <w:color w:val="auto"/>
          <w:sz w:val="32"/>
          <w:szCs w:val="32"/>
        </w:rPr>
        <w:t>分局联系电话:0473-</w:t>
      </w:r>
      <w:r>
        <w:rPr>
          <w:rFonts w:hint="eastAsia" w:ascii="仿宋" w:hAnsi="仿宋" w:eastAsia="仿宋"/>
          <w:color w:val="auto"/>
          <w:sz w:val="32"/>
          <w:szCs w:val="32"/>
          <w:lang w:val="en-US" w:eastAsia="zh-CN"/>
        </w:rPr>
        <w:t>6983005</w:t>
      </w:r>
    </w:p>
    <w:p>
      <w:pPr>
        <w:spacing w:line="560" w:lineRule="exact"/>
        <w:ind w:firstLine="1280" w:firstLineChars="400"/>
        <w:jc w:val="right"/>
        <w:textAlignment w:val="baseline"/>
        <w:rPr>
          <w:rFonts w:ascii="仿宋" w:hAnsi="仿宋" w:eastAsia="仿宋"/>
          <w:color w:val="000000" w:themeColor="text1"/>
          <w:sz w:val="32"/>
          <w:szCs w:val="32"/>
          <w14:textFill>
            <w14:solidFill>
              <w14:schemeClr w14:val="tx1"/>
            </w14:solidFill>
          </w14:textFill>
        </w:rPr>
      </w:pPr>
    </w:p>
    <w:p>
      <w:pPr>
        <w:spacing w:line="560" w:lineRule="exact"/>
        <w:ind w:firstLine="1280" w:firstLineChars="400"/>
        <w:jc w:val="right"/>
        <w:textAlignment w:val="baseline"/>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乌海</w:t>
      </w:r>
      <w:r>
        <w:rPr>
          <w:rFonts w:hint="eastAsia" w:ascii="仿宋" w:hAnsi="仿宋" w:eastAsia="仿宋"/>
          <w:color w:val="000000" w:themeColor="text1"/>
          <w:sz w:val="32"/>
          <w:szCs w:val="32"/>
          <w:highlight w:val="none"/>
          <w14:textFill>
            <w14:solidFill>
              <w14:schemeClr w14:val="tx1"/>
            </w14:solidFill>
          </w14:textFill>
        </w:rPr>
        <w:t>市公共资源交易中心</w:t>
      </w:r>
    </w:p>
    <w:p>
      <w:pPr>
        <w:spacing w:line="560" w:lineRule="exact"/>
        <w:ind w:firstLine="1280" w:firstLineChars="400"/>
        <w:jc w:val="right"/>
        <w:textAlignment w:val="baseline"/>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 xml:space="preserve">日 </w:t>
      </w: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w:t>
      </w:r>
      <w:r>
        <w:rPr>
          <w:rFonts w:hint="eastAsia" w:ascii="仿宋" w:hAnsi="仿宋" w:eastAsia="仿宋" w:cs="FangSong_GB2312"/>
          <w:color w:val="auto"/>
          <w:sz w:val="32"/>
          <w:szCs w:val="32"/>
        </w:rPr>
        <w:t>乌海市</w:t>
      </w:r>
      <w:r>
        <w:rPr>
          <w:rFonts w:hint="eastAsia" w:ascii="仿宋" w:hAnsi="仿宋" w:eastAsia="仿宋" w:cs="FangSong_GB2312"/>
          <w:color w:val="auto"/>
          <w:sz w:val="32"/>
          <w:szCs w:val="32"/>
          <w:lang w:eastAsia="zh-CN"/>
        </w:rPr>
        <w:t>乌达</w:t>
      </w:r>
      <w:r>
        <w:rPr>
          <w:rFonts w:hint="eastAsia" w:ascii="仿宋" w:hAnsi="仿宋" w:eastAsia="仿宋" w:cs="FangSong_GB2312"/>
          <w:color w:val="auto"/>
          <w:sz w:val="32"/>
          <w:szCs w:val="32"/>
        </w:rPr>
        <w:t>区人民政府</w:t>
      </w:r>
      <w:r>
        <w:rPr>
          <w:rFonts w:hint="eastAsia" w:ascii="仿宋" w:hAnsi="仿宋" w:eastAsia="仿宋" w:cs="FangSong_GB2312"/>
          <w:color w:val="000000" w:themeColor="text1"/>
          <w:sz w:val="32"/>
          <w:szCs w:val="32"/>
          <w14:textFill>
            <w14:solidFill>
              <w14:schemeClr w14:val="tx1"/>
            </w14:solidFill>
          </w14:textFill>
        </w:rPr>
        <w:t>批准</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FangSong_GB2312"/>
          <w:color w:val="auto"/>
          <w:sz w:val="32"/>
          <w:szCs w:val="32"/>
        </w:rPr>
        <w:t>乌海市自然资源局</w:t>
      </w:r>
      <w:r>
        <w:rPr>
          <w:rFonts w:hint="eastAsia" w:ascii="仿宋" w:hAnsi="仿宋" w:eastAsia="仿宋" w:cs="FangSong_GB2312"/>
          <w:color w:val="auto"/>
          <w:sz w:val="32"/>
          <w:szCs w:val="32"/>
          <w:lang w:eastAsia="zh-CN"/>
        </w:rPr>
        <w:t>乌达</w:t>
      </w:r>
      <w:r>
        <w:rPr>
          <w:rFonts w:hint="eastAsia" w:ascii="仿宋" w:hAnsi="仿宋" w:eastAsia="仿宋" w:cs="FangSong_GB2312"/>
          <w:color w:val="auto"/>
          <w:sz w:val="32"/>
          <w:szCs w:val="32"/>
        </w:rPr>
        <w:t>分局</w:t>
      </w:r>
      <w:r>
        <w:rPr>
          <w:rFonts w:hint="eastAsia" w:ascii="仿宋" w:hAnsi="仿宋" w:eastAsia="仿宋"/>
          <w:color w:val="000000" w:themeColor="text1"/>
          <w:sz w:val="32"/>
          <w:szCs w:val="32"/>
          <w14:textFill>
            <w14:solidFill>
              <w14:schemeClr w14:val="tx1"/>
            </w14:solidFill>
          </w14:textFill>
        </w:rPr>
        <w:t>以挂牌方式出让</w:t>
      </w:r>
      <w:r>
        <w:rPr>
          <w:rFonts w:hint="eastAsia" w:ascii="仿宋" w:hAnsi="仿宋" w:eastAsia="仿宋"/>
          <w:color w:val="auto"/>
          <w:sz w:val="32"/>
          <w:szCs w:val="32"/>
          <w:lang w:val="en-US" w:eastAsia="zh-CN"/>
        </w:rPr>
        <w:t>2</w:t>
      </w:r>
      <w:r>
        <w:rPr>
          <w:rFonts w:hint="eastAsia" w:ascii="仿宋" w:hAnsi="仿宋" w:eastAsia="仿宋"/>
          <w:color w:val="000000" w:themeColor="text1"/>
          <w:sz w:val="32"/>
          <w:szCs w:val="32"/>
          <w14:textFill>
            <w14:solidFill>
              <w14:schemeClr w14:val="tx1"/>
            </w14:solidFill>
          </w14:textFill>
        </w:rPr>
        <w:t>宗地块的国有建设用地使用权。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一、本次国有建设用地使用权挂牌出让的出让人为</w:t>
      </w:r>
      <w:r>
        <w:rPr>
          <w:rFonts w:hint="eastAsia" w:ascii="仿宋" w:hAnsi="仿宋" w:eastAsia="仿宋" w:cs="FangSong_GB2312"/>
          <w:color w:val="auto"/>
          <w:sz w:val="32"/>
          <w:szCs w:val="32"/>
        </w:rPr>
        <w:t>乌海市自然资源局</w:t>
      </w:r>
      <w:r>
        <w:rPr>
          <w:rFonts w:hint="eastAsia" w:ascii="仿宋" w:hAnsi="仿宋" w:eastAsia="仿宋" w:cs="FangSong_GB2312"/>
          <w:color w:val="auto"/>
          <w:sz w:val="32"/>
          <w:szCs w:val="32"/>
          <w:lang w:eastAsia="zh-CN"/>
        </w:rPr>
        <w:t>乌达</w:t>
      </w:r>
      <w:r>
        <w:rPr>
          <w:rFonts w:hint="eastAsia" w:ascii="仿宋" w:hAnsi="仿宋" w:eastAsia="仿宋" w:cs="FangSong_GB2312"/>
          <w:color w:val="auto"/>
          <w:sz w:val="32"/>
          <w:szCs w:val="32"/>
        </w:rPr>
        <w:t>分局</w:t>
      </w:r>
      <w:r>
        <w:rPr>
          <w:rFonts w:hint="eastAsia" w:ascii="仿宋" w:hAnsi="仿宋" w:eastAsia="仿宋"/>
          <w:color w:val="000000" w:themeColor="text1"/>
          <w:sz w:val="32"/>
          <w:szCs w:val="32"/>
          <w14:textFill>
            <w14:solidFill>
              <w14:schemeClr w14:val="tx1"/>
            </w14:solidFill>
          </w14:textFill>
        </w:rPr>
        <w:t>，具体组织实施由乌海市公共资源交易中心负责。</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二、本次国有建设用地使用权挂牌出让遵循公开、公平、公正和诚实信用的原则。</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spacing w:line="538" w:lineRule="exact"/>
        <w:ind w:left="0"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号地块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baseline"/>
        <w:outlineLvl w:val="9"/>
        <w:rPr>
          <w:rFonts w:hint="eastAsia" w:ascii="仿宋_GB2312" w:hAnsi="仿宋_GB2312" w:eastAsia="仿宋_GB2312"/>
          <w:sz w:val="32"/>
          <w:lang w:eastAsia="zh-CN"/>
        </w:rPr>
      </w:pPr>
      <w:r>
        <w:rPr>
          <w:rFonts w:hint="eastAsia" w:ascii="仿宋" w:hAnsi="仿宋" w:eastAsia="仿宋" w:cs="仿宋"/>
          <w:sz w:val="32"/>
          <w:szCs w:val="32"/>
          <w:highlight w:val="none"/>
          <w:lang w:val="en-US" w:eastAsia="zh-CN"/>
        </w:rPr>
        <w:t>（一）地块位置：</w:t>
      </w:r>
      <w:r>
        <w:rPr>
          <w:rFonts w:hint="eastAsia" w:ascii="仿宋_GB2312" w:hAnsi="仿宋_GB2312" w:eastAsia="仿宋" w:cs="仿宋_GB2312"/>
          <w:b w:val="0"/>
          <w:bCs/>
          <w:kern w:val="2"/>
          <w:sz w:val="32"/>
          <w:szCs w:val="32"/>
          <w:lang w:val="en-US" w:eastAsia="zh-CN" w:bidi="ar-SA"/>
        </w:rPr>
        <w:t>团结路以东、民达街以南、北经五路以西、爱民街以北</w:t>
      </w:r>
      <w:r>
        <w:rPr>
          <w:rFonts w:hint="eastAsia" w:ascii="仿宋_GB2312" w:hAnsi="仿宋_GB2312" w:eastAsia="仿宋_GB2312"/>
          <w:sz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baseline"/>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（二）出让面积</w:t>
      </w:r>
      <w:r>
        <w:rPr>
          <w:rFonts w:hint="eastAsia" w:ascii="仿宋" w:hAnsi="仿宋" w:eastAsia="仿宋" w:cs="仿宋"/>
          <w:color w:val="auto"/>
          <w:sz w:val="32"/>
          <w:szCs w:val="32"/>
          <w:highlight w:val="none"/>
          <w:lang w:val="en-US" w:eastAsia="zh-CN"/>
        </w:rPr>
        <w:t>：34378（约51.57亩）</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24" w:leftChars="0" w:right="0" w:rightChars="0"/>
        <w:textAlignment w:val="baseline"/>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（三）土地用途：</w:t>
      </w:r>
      <w:r>
        <w:rPr>
          <w:rFonts w:hint="eastAsia" w:ascii="仿宋_GB2312" w:hAnsi="仿宋_GB2312" w:eastAsia="仿宋_GB2312"/>
          <w:color w:val="auto"/>
          <w:sz w:val="32"/>
          <w:lang w:eastAsia="zh-CN"/>
        </w:rPr>
        <w:t>居住兼容</w:t>
      </w:r>
      <w:r>
        <w:rPr>
          <w:rFonts w:hint="eastAsia" w:ascii="仿宋_GB2312" w:hAnsi="仿宋_GB2312" w:eastAsia="仿宋_GB2312"/>
          <w:color w:val="auto"/>
          <w:sz w:val="32"/>
          <w:lang w:val="en-US" w:eastAsia="zh-CN"/>
        </w:rPr>
        <w:t>商业用地</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24" w:leftChars="0" w:right="0" w:rightChars="0"/>
        <w:textAlignment w:val="baseline"/>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（四）使用年期：</w:t>
      </w:r>
      <w:r>
        <w:rPr>
          <w:rFonts w:hint="eastAsia" w:ascii="仿宋_GB2312" w:hAnsi="仿宋_GB2312" w:eastAsia="仿宋_GB2312"/>
          <w:color w:val="auto"/>
          <w:sz w:val="32"/>
          <w:lang w:eastAsia="zh-CN"/>
        </w:rPr>
        <w:t>居住</w:t>
      </w:r>
      <w:r>
        <w:rPr>
          <w:rFonts w:hint="eastAsia" w:ascii="仿宋_GB2312" w:hAnsi="仿宋_GB2312" w:eastAsia="仿宋_GB2312"/>
          <w:color w:val="auto"/>
          <w:sz w:val="32"/>
          <w:lang w:val="en-US" w:eastAsia="zh-CN"/>
        </w:rPr>
        <w:t>7</w:t>
      </w:r>
      <w:r>
        <w:rPr>
          <w:rFonts w:hint="eastAsia" w:ascii="仿宋_GB2312" w:hAnsi="仿宋_GB2312" w:eastAsia="仿宋_GB2312"/>
          <w:color w:val="auto"/>
          <w:sz w:val="32"/>
        </w:rPr>
        <w:t>0年</w:t>
      </w:r>
      <w:r>
        <w:rPr>
          <w:rFonts w:hint="eastAsia" w:ascii="仿宋_GB2312" w:hAnsi="仿宋_GB2312" w:eastAsia="仿宋_GB2312"/>
          <w:color w:val="auto"/>
          <w:sz w:val="32"/>
          <w:lang w:val="en-US" w:eastAsia="zh-CN"/>
        </w:rPr>
        <w:t xml:space="preserve"> </w:t>
      </w:r>
      <w:r>
        <w:rPr>
          <w:rFonts w:hint="eastAsia" w:ascii="仿宋_GB2312" w:hAnsi="仿宋_GB2312" w:eastAsia="仿宋_GB2312"/>
          <w:color w:val="auto"/>
          <w:sz w:val="32"/>
        </w:rPr>
        <w:t>商业40年</w:t>
      </w:r>
      <w:r>
        <w:rPr>
          <w:rFonts w:hint="eastAsia" w:ascii="仿宋" w:hAnsi="仿宋" w:eastAsia="仿宋" w:cs="仿宋"/>
          <w:sz w:val="32"/>
          <w:szCs w:val="32"/>
          <w:highlight w:val="none"/>
          <w:lang w:val="en-US" w:eastAsia="zh-CN"/>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年内建设完成；</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（六）规划用地性质：</w:t>
      </w:r>
      <w:r>
        <w:rPr>
          <w:rFonts w:hint="eastAsia" w:ascii="仿宋" w:hAnsi="仿宋" w:eastAsia="仿宋" w:cs="仿宋"/>
          <w:sz w:val="32"/>
          <w:szCs w:val="32"/>
          <w:highlight w:val="none"/>
          <w:lang w:val="en-US" w:eastAsia="zh-CN"/>
        </w:rPr>
        <w:t>居住兼容商业用地；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eastAsia" w:ascii="仿宋" w:hAnsi="仿宋" w:eastAsia="仿宋"/>
          <w:color w:val="auto"/>
          <w:sz w:val="32"/>
          <w:szCs w:val="32"/>
        </w:rPr>
      </w:pPr>
      <w:r>
        <w:rPr>
          <w:rFonts w:hint="eastAsia" w:ascii="仿宋" w:hAnsi="仿宋" w:eastAsia="仿宋"/>
          <w:color w:val="auto"/>
          <w:sz w:val="32"/>
          <w:szCs w:val="32"/>
        </w:rPr>
        <w:t>（七）容积率：</w:t>
      </w:r>
      <w:r>
        <w:rPr>
          <w:rFonts w:hint="eastAsia" w:ascii="仿宋_GB2312" w:hAnsi="仿宋_GB2312" w:eastAsia="仿宋_GB2312"/>
          <w:color w:val="auto"/>
          <w:sz w:val="32"/>
          <w:lang w:val="en-US" w:eastAsia="zh-CN"/>
        </w:rPr>
        <w:t>≤1.8</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（八）</w:t>
      </w:r>
      <w:r>
        <w:rPr>
          <w:rFonts w:hint="eastAsia" w:ascii="仿宋" w:hAnsi="仿宋" w:eastAsia="仿宋"/>
          <w:color w:val="auto"/>
          <w:sz w:val="32"/>
          <w:szCs w:val="32"/>
        </w:rPr>
        <w:t>建筑限高：</w:t>
      </w:r>
      <w:r>
        <w:rPr>
          <w:rFonts w:hint="eastAsia" w:ascii="仿宋" w:hAnsi="仿宋" w:eastAsia="仿宋"/>
          <w:color w:val="auto"/>
          <w:sz w:val="32"/>
          <w:szCs w:val="32"/>
          <w:lang w:eastAsia="zh-CN"/>
        </w:rPr>
        <w:t>≤</w:t>
      </w:r>
      <w:r>
        <w:rPr>
          <w:rFonts w:hint="eastAsia" w:ascii="仿宋_GB2312" w:hAnsi="仿宋_GB2312" w:eastAsia="仿宋_GB2312"/>
          <w:color w:val="auto"/>
          <w:sz w:val="32"/>
          <w:lang w:val="en-US" w:eastAsia="zh-CN"/>
        </w:rPr>
        <w:t>60米</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九</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绿地率：</w:t>
      </w:r>
      <w:r>
        <w:rPr>
          <w:rFonts w:hint="eastAsia" w:ascii="仿宋_GB2312" w:hAnsi="仿宋_GB2312" w:eastAsia="仿宋_GB2312"/>
          <w:color w:val="auto"/>
          <w:sz w:val="32"/>
        </w:rPr>
        <w:t>≥</w:t>
      </w:r>
      <w:r>
        <w:rPr>
          <w:rFonts w:hint="eastAsia" w:ascii="仿宋_GB2312" w:hAnsi="仿宋_GB2312" w:eastAsia="仿宋_GB2312"/>
          <w:color w:val="auto"/>
          <w:sz w:val="32"/>
          <w:lang w:val="en-US" w:eastAsia="zh-CN"/>
        </w:rPr>
        <w:t>30%</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十</w:t>
      </w:r>
      <w:r>
        <w:rPr>
          <w:rFonts w:hint="eastAsia" w:ascii="仿宋" w:hAnsi="仿宋" w:eastAsia="仿宋" w:cs="仿宋"/>
          <w:sz w:val="32"/>
          <w:szCs w:val="32"/>
          <w:highlight w:val="none"/>
        </w:rPr>
        <w:t>）</w:t>
      </w:r>
      <w:r>
        <w:rPr>
          <w:rFonts w:hint="eastAsia" w:ascii="仿宋_GB2312" w:hAnsi="仿宋_GB2312" w:eastAsia="仿宋_GB2312"/>
          <w:color w:val="auto"/>
          <w:sz w:val="32"/>
        </w:rPr>
        <w:t>建筑</w:t>
      </w:r>
      <w:r>
        <w:rPr>
          <w:rFonts w:hint="eastAsia" w:ascii="仿宋_GB2312" w:hAnsi="仿宋_GB2312" w:eastAsia="仿宋_GB2312"/>
          <w:color w:val="auto"/>
          <w:sz w:val="32"/>
          <w:lang w:eastAsia="zh-CN"/>
        </w:rPr>
        <w:t>密度</w:t>
      </w:r>
      <w:r>
        <w:rPr>
          <w:rFonts w:hint="eastAsia" w:ascii="仿宋_GB2312" w:hAnsi="仿宋_GB2312" w:eastAsia="仿宋_GB2312"/>
          <w:color w:val="auto"/>
          <w:sz w:val="32"/>
        </w:rPr>
        <w:t>：</w:t>
      </w:r>
      <w:r>
        <w:rPr>
          <w:rFonts w:hint="eastAsia" w:ascii="仿宋_GB2312" w:hAnsi="仿宋_GB2312" w:eastAsia="仿宋_GB2312"/>
          <w:color w:val="auto"/>
          <w:sz w:val="32"/>
          <w:lang w:val="en-US" w:eastAsia="zh-CN"/>
        </w:rPr>
        <w:t>≤</w:t>
      </w:r>
      <w:r>
        <w:rPr>
          <w:rFonts w:hint="eastAsia" w:ascii="仿宋_GB2312" w:hAnsi="仿宋_GB2312" w:eastAsia="仿宋_GB2312"/>
          <w:color w:val="auto"/>
          <w:sz w:val="32"/>
        </w:rPr>
        <w:t>3</w:t>
      </w:r>
      <w:r>
        <w:rPr>
          <w:rFonts w:hint="eastAsia" w:ascii="仿宋_GB2312" w:hAnsi="仿宋_GB2312" w:eastAsia="仿宋_GB2312"/>
          <w:color w:val="auto"/>
          <w:sz w:val="32"/>
          <w:lang w:val="en-US" w:eastAsia="zh-CN"/>
        </w:rPr>
        <w:t>0</w:t>
      </w:r>
      <w:r>
        <w:rPr>
          <w:rFonts w:hint="eastAsia" w:ascii="仿宋_GB2312" w:hAnsi="仿宋_GB2312" w:eastAsia="仿宋_GB2312"/>
          <w:color w:val="auto"/>
          <w:sz w:val="32"/>
        </w:rPr>
        <w:t>%</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default" w:ascii="仿宋_GB2312" w:hAnsi="仿宋_GB2312" w:eastAsia="仿宋_GB2312"/>
          <w:color w:val="auto"/>
          <w:sz w:val="32"/>
          <w:lang w:val="en-US"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十一</w:t>
      </w:r>
      <w:r>
        <w:rPr>
          <w:rFonts w:hint="eastAsia" w:ascii="仿宋" w:hAnsi="仿宋" w:eastAsia="仿宋" w:cs="仿宋"/>
          <w:sz w:val="32"/>
          <w:szCs w:val="32"/>
          <w:highlight w:val="none"/>
        </w:rPr>
        <w:t>）</w:t>
      </w:r>
      <w:r>
        <w:rPr>
          <w:rFonts w:hint="default" w:ascii="仿宋_GB2312" w:hAnsi="仿宋_GB2312" w:eastAsia="仿宋_GB2312"/>
          <w:color w:val="auto"/>
          <w:sz w:val="32"/>
          <w:lang w:val="en-US" w:eastAsia="zh-CN"/>
        </w:rPr>
        <w:t>新建住宅小区应按照每百户不少于20平方米建筑面积配建社区养老服务设施用房，且单处用房建筑面积不得少于 350</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平方米。对分期开发的新建住宅小区项目，配建的社区养老服</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务设施用房应当安排在首期，且不得拆分。对于确实无法安排</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在首期的项目，配建的社区养老服务设施用房必须在住宅总规</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模完成50%之前同步建设完成。开发建设单位应按照《老年人照</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料设施建筑设计标准》《社区老年人日间照料中心建设标准》《无</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障碍设计规范》等标准规范的要求，设计配建社区养老服务设</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施用房。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（十二）</w:t>
      </w:r>
      <w:r>
        <w:rPr>
          <w:rFonts w:hint="eastAsia" w:ascii="仿宋_GB2312" w:hAnsi="仿宋_GB2312" w:eastAsia="仿宋_GB2312"/>
          <w:color w:val="auto"/>
          <w:sz w:val="32"/>
          <w:lang w:val="en-US" w:eastAsia="zh-CN"/>
        </w:rPr>
        <w:t>《中华人民共和国土壤污染防治法》第五十九条第二款规定:用途变更为住宅、公共管理与公共服务用地的，变更前应当按照规定进行土壤污染状况调查。</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（十三）</w:t>
      </w:r>
      <w:r>
        <w:rPr>
          <w:rFonts w:hint="eastAsia" w:ascii="仿宋" w:hAnsi="仿宋" w:eastAsia="仿宋" w:cs="仿宋"/>
          <w:sz w:val="32"/>
          <w:szCs w:val="32"/>
          <w:highlight w:val="none"/>
        </w:rPr>
        <w:t>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（十四）</w:t>
      </w:r>
      <w:r>
        <w:rPr>
          <w:rFonts w:hint="eastAsia" w:ascii="仿宋" w:hAnsi="仿宋" w:eastAsia="仿宋" w:cs="仿宋"/>
          <w:sz w:val="32"/>
          <w:szCs w:val="32"/>
          <w:highlight w:val="none"/>
        </w:rPr>
        <w:t>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其他规划要求以规划条件书为准。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jc w:val="left"/>
        <w:textAlignment w:val="baseline"/>
        <w:outlineLvl w:val="9"/>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（十</w:t>
      </w:r>
      <w:r>
        <w:rPr>
          <w:rFonts w:hint="eastAsia" w:ascii="仿宋" w:hAnsi="仿宋" w:eastAsia="仿宋"/>
          <w:color w:val="auto"/>
          <w:sz w:val="32"/>
          <w:szCs w:val="32"/>
          <w:lang w:eastAsia="zh-CN"/>
        </w:rPr>
        <w:t>六</w:t>
      </w:r>
      <w:r>
        <w:rPr>
          <w:rFonts w:hint="eastAsia" w:ascii="仿宋" w:hAnsi="仿宋" w:eastAsia="仿宋" w:cs="仿宋"/>
          <w:sz w:val="32"/>
          <w:szCs w:val="32"/>
          <w:highlight w:val="none"/>
          <w:lang w:eastAsia="zh-CN"/>
        </w:rPr>
        <w:t>）</w:t>
      </w:r>
      <w:r>
        <w:rPr>
          <w:rFonts w:hint="eastAsia" w:ascii="仿宋_GB2312" w:hAnsi="仿宋_GB2312" w:eastAsia="仿宋_GB2312"/>
          <w:color w:val="auto"/>
          <w:sz w:val="32"/>
          <w:highlight w:val="none"/>
        </w:rPr>
        <w:t>该地块</w:t>
      </w:r>
      <w:r>
        <w:rPr>
          <w:rFonts w:hint="eastAsia" w:ascii="仿宋_GB2312" w:hAnsi="仿宋_GB2312" w:eastAsia="仿宋_GB2312"/>
          <w:b w:val="0"/>
          <w:i w:val="0"/>
          <w:strike w:val="0"/>
          <w:color w:val="auto"/>
          <w:spacing w:val="0"/>
          <w:w w:val="100"/>
          <w:sz w:val="32"/>
          <w:lang w:val="en-US" w:eastAsia="zh-CN"/>
        </w:rPr>
        <w:t>3.4378公顷，其中0.4715公顷</w:t>
      </w:r>
      <w:r>
        <w:rPr>
          <w:rFonts w:hint="eastAsia" w:ascii="仿宋_GB2312" w:hAnsi="仿宋_GB2312" w:eastAsia="仿宋_GB2312"/>
          <w:color w:val="auto"/>
          <w:sz w:val="32"/>
          <w:highlight w:val="none"/>
        </w:rPr>
        <w:t>为乌达区</w:t>
      </w:r>
      <w:r>
        <w:rPr>
          <w:rFonts w:hint="eastAsia" w:ascii="仿宋_GB2312" w:hAnsi="仿宋_GB2312" w:eastAsia="仿宋_GB2312"/>
          <w:color w:val="auto"/>
          <w:sz w:val="32"/>
          <w:highlight w:val="none"/>
          <w:lang w:val="en-US" w:eastAsia="zh-CN"/>
        </w:rPr>
        <w:t>2011年第三批次新增</w:t>
      </w:r>
      <w:r>
        <w:rPr>
          <w:rFonts w:hint="eastAsia" w:ascii="仿宋_GB2312" w:hAnsi="仿宋_GB2312" w:eastAsia="仿宋_GB2312"/>
          <w:color w:val="auto"/>
          <w:sz w:val="32"/>
          <w:highlight w:val="none"/>
          <w:lang w:eastAsia="zh-CN"/>
        </w:rPr>
        <w:t>建设用地，</w:t>
      </w:r>
      <w:r>
        <w:rPr>
          <w:rFonts w:hint="eastAsia" w:ascii="仿宋_GB2312" w:hAnsi="仿宋_GB2312" w:eastAsia="仿宋_GB2312"/>
          <w:color w:val="auto"/>
          <w:sz w:val="32"/>
          <w:highlight w:val="none"/>
          <w:lang w:val="en-US" w:eastAsia="zh-CN"/>
        </w:rPr>
        <w:t>2.9663公顷为</w:t>
      </w:r>
      <w:r>
        <w:rPr>
          <w:rFonts w:hint="eastAsia" w:ascii="仿宋_GB2312" w:hAnsi="仿宋_GB2312" w:eastAsia="仿宋_GB2312"/>
          <w:color w:val="auto"/>
          <w:sz w:val="32"/>
          <w:highlight w:val="none"/>
        </w:rPr>
        <w:t>为乌达区</w:t>
      </w:r>
      <w:r>
        <w:rPr>
          <w:rFonts w:hint="eastAsia" w:ascii="仿宋_GB2312" w:hAnsi="仿宋_GB2312" w:eastAsia="仿宋_GB2312"/>
          <w:color w:val="auto"/>
          <w:sz w:val="32"/>
          <w:highlight w:val="none"/>
          <w:lang w:val="en-US" w:eastAsia="zh-CN"/>
        </w:rPr>
        <w:t>2010年第四批次新增</w:t>
      </w:r>
      <w:r>
        <w:rPr>
          <w:rFonts w:hint="eastAsia" w:ascii="仿宋_GB2312" w:hAnsi="仿宋_GB2312" w:eastAsia="仿宋_GB2312"/>
          <w:color w:val="auto"/>
          <w:sz w:val="32"/>
          <w:highlight w:val="none"/>
          <w:lang w:eastAsia="zh-CN"/>
        </w:rPr>
        <w:t>建设用地</w:t>
      </w:r>
      <w:r>
        <w:rPr>
          <w:rFonts w:hint="eastAsia" w:ascii="仿宋_GB2312" w:hAnsi="仿宋_GB2312" w:eastAsia="仿宋_GB2312"/>
          <w:color w:val="auto"/>
          <w:sz w:val="32"/>
          <w:highlight w:val="none"/>
        </w:rPr>
        <w:t>。</w:t>
      </w:r>
      <w:r>
        <w:rPr>
          <w:rFonts w:hint="eastAsia" w:ascii="仿宋" w:hAnsi="仿宋" w:eastAsia="仿宋" w:cs="仿宋"/>
          <w:color w:val="auto"/>
          <w:kern w:val="2"/>
          <w:sz w:val="32"/>
          <w:szCs w:val="32"/>
          <w:highlight w:val="none"/>
          <w:vertAlign w:val="baseline"/>
          <w:lang w:val="en-US" w:eastAsia="zh-CN" w:bidi="ar"/>
        </w:rPr>
        <w:t>现净地挂牌。</w:t>
      </w:r>
      <w:r>
        <w:rPr>
          <w:rFonts w:hint="eastAsia" w:ascii="仿宋" w:hAnsi="仿宋" w:eastAsia="仿宋" w:cs="仿宋"/>
          <w:color w:val="auto"/>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olor w:val="auto"/>
          <w:sz w:val="32"/>
          <w:szCs w:val="32"/>
        </w:rPr>
        <w:t>（十</w:t>
      </w:r>
      <w:r>
        <w:rPr>
          <w:rFonts w:hint="eastAsia" w:ascii="仿宋" w:hAnsi="仿宋" w:eastAsia="仿宋"/>
          <w:color w:val="auto"/>
          <w:sz w:val="32"/>
          <w:szCs w:val="32"/>
          <w:lang w:eastAsia="zh-CN"/>
        </w:rPr>
        <w:t>六</w:t>
      </w:r>
      <w:r>
        <w:rPr>
          <w:rFonts w:hint="eastAsia" w:ascii="仿宋" w:hAnsi="仿宋" w:eastAsia="仿宋"/>
          <w:color w:val="auto"/>
          <w:sz w:val="32"/>
          <w:szCs w:val="32"/>
        </w:rPr>
        <w:t>）其他要求：出让地块的空间范围须符合城市规划管理的有关</w:t>
      </w:r>
      <w:r>
        <w:rPr>
          <w:rFonts w:hint="eastAsia" w:ascii="仿宋" w:hAnsi="仿宋" w:eastAsia="仿宋" w:cs="仿宋"/>
          <w:color w:val="auto"/>
          <w:sz w:val="32"/>
          <w:szCs w:val="32"/>
          <w:highlight w:val="none"/>
        </w:rPr>
        <w:t>要求，必须严格按照《内蒙古自治区建设用地规划条件书》（条字第：</w:t>
      </w:r>
      <w:r>
        <w:rPr>
          <w:rFonts w:hint="eastAsia" w:ascii="仿宋" w:hAnsi="仿宋" w:eastAsia="仿宋" w:cs="仿宋"/>
          <w:color w:val="auto"/>
          <w:sz w:val="32"/>
          <w:szCs w:val="32"/>
          <w:highlight w:val="none"/>
          <w:lang w:eastAsia="zh-CN"/>
        </w:rPr>
        <w:t>15030</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20</w:t>
      </w:r>
      <w:r>
        <w:rPr>
          <w:rFonts w:hint="eastAsia" w:ascii="仿宋" w:hAnsi="仿宋" w:eastAsia="仿宋" w:cs="仿宋"/>
          <w:color w:val="auto"/>
          <w:sz w:val="32"/>
          <w:szCs w:val="32"/>
          <w:highlight w:val="none"/>
          <w:lang w:val="en-US" w:eastAsia="zh-CN"/>
        </w:rPr>
        <w:t>2200017</w:t>
      </w:r>
      <w:r>
        <w:rPr>
          <w:rFonts w:hint="eastAsia" w:ascii="仿宋" w:hAnsi="仿宋" w:eastAsia="仿宋" w:cs="仿宋"/>
          <w:color w:val="auto"/>
          <w:sz w:val="32"/>
          <w:szCs w:val="32"/>
          <w:highlight w:val="none"/>
        </w:rPr>
        <w:t>号）的有关要求进行建</w:t>
      </w:r>
      <w:r>
        <w:rPr>
          <w:rFonts w:hint="eastAsia" w:ascii="仿宋" w:hAnsi="仿宋" w:eastAsia="仿宋" w:cs="仿宋"/>
          <w:sz w:val="32"/>
          <w:szCs w:val="32"/>
          <w:highlight w:val="none"/>
        </w:rPr>
        <w:t>设</w:t>
      </w:r>
      <w:r>
        <w:rPr>
          <w:rFonts w:hint="eastAsia" w:ascii="仿宋" w:hAnsi="仿宋" w:eastAsia="仿宋" w:cs="仿宋"/>
          <w:sz w:val="32"/>
          <w:szCs w:val="32"/>
          <w:highlight w:val="none"/>
          <w:lang w:eastAsia="zh-CN"/>
        </w:rPr>
        <w:t>。</w:t>
      </w:r>
    </w:p>
    <w:p>
      <w:pPr>
        <w:spacing w:line="538" w:lineRule="exact"/>
        <w:ind w:left="0"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二</w:t>
      </w:r>
      <w:r>
        <w:rPr>
          <w:rFonts w:hint="eastAsia" w:ascii="仿宋" w:hAnsi="仿宋" w:eastAsia="仿宋"/>
          <w:b/>
          <w:color w:val="000000" w:themeColor="text1"/>
          <w:sz w:val="32"/>
          <w:szCs w:val="32"/>
          <w14:textFill>
            <w14:solidFill>
              <w14:schemeClr w14:val="tx1"/>
            </w14:solidFill>
          </w14:textFill>
        </w:rPr>
        <w:t>号地块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baseline"/>
        <w:outlineLvl w:val="9"/>
        <w:rPr>
          <w:rFonts w:hint="eastAsia" w:ascii="仿宋_GB2312" w:hAnsi="仿宋_GB2312" w:eastAsia="仿宋_GB2312"/>
          <w:sz w:val="32"/>
          <w:lang w:eastAsia="zh-CN"/>
        </w:rPr>
      </w:pPr>
      <w:r>
        <w:rPr>
          <w:rFonts w:hint="eastAsia" w:ascii="仿宋" w:hAnsi="仿宋" w:eastAsia="仿宋" w:cs="仿宋"/>
          <w:sz w:val="32"/>
          <w:szCs w:val="32"/>
          <w:highlight w:val="none"/>
          <w:lang w:val="en-US" w:eastAsia="zh-CN"/>
        </w:rPr>
        <w:t>（一）地块位置：北经五路以东、民达街以南、北经六路以西、爱民街以北</w:t>
      </w:r>
      <w:r>
        <w:rPr>
          <w:rFonts w:hint="eastAsia" w:ascii="仿宋_GB2312" w:hAnsi="仿宋_GB2312" w:eastAsia="仿宋_GB2312"/>
          <w:sz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baseline"/>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（二）出让面积</w:t>
      </w:r>
      <w:r>
        <w:rPr>
          <w:rFonts w:hint="eastAsia" w:ascii="仿宋" w:hAnsi="仿宋" w:eastAsia="仿宋" w:cs="仿宋"/>
          <w:color w:val="auto"/>
          <w:sz w:val="32"/>
          <w:szCs w:val="32"/>
          <w:highlight w:val="none"/>
          <w:lang w:val="en-US" w:eastAsia="zh-CN"/>
        </w:rPr>
        <w:t>：63417（约95.13亩）</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24" w:leftChars="0" w:right="0" w:rightChars="0"/>
        <w:textAlignment w:val="baseline"/>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（三）土地用途：</w:t>
      </w:r>
      <w:r>
        <w:rPr>
          <w:rFonts w:hint="eastAsia" w:ascii="仿宋_GB2312" w:hAnsi="仿宋_GB2312" w:eastAsia="仿宋_GB2312"/>
          <w:color w:val="auto"/>
          <w:sz w:val="32"/>
          <w:lang w:eastAsia="zh-CN"/>
        </w:rPr>
        <w:t>居住兼容</w:t>
      </w:r>
      <w:r>
        <w:rPr>
          <w:rFonts w:hint="eastAsia" w:ascii="仿宋_GB2312" w:hAnsi="仿宋_GB2312" w:eastAsia="仿宋_GB2312"/>
          <w:color w:val="auto"/>
          <w:sz w:val="32"/>
          <w:lang w:val="en-US" w:eastAsia="zh-CN"/>
        </w:rPr>
        <w:t>商业用地</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24" w:leftChars="0" w:right="0" w:rightChars="0"/>
        <w:textAlignment w:val="baseline"/>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（四）使用年期：</w:t>
      </w:r>
      <w:r>
        <w:rPr>
          <w:rFonts w:hint="eastAsia" w:ascii="仿宋_GB2312" w:hAnsi="仿宋_GB2312" w:eastAsia="仿宋_GB2312"/>
          <w:color w:val="auto"/>
          <w:sz w:val="32"/>
          <w:lang w:eastAsia="zh-CN"/>
        </w:rPr>
        <w:t>居住</w:t>
      </w:r>
      <w:r>
        <w:rPr>
          <w:rFonts w:hint="eastAsia" w:ascii="仿宋_GB2312" w:hAnsi="仿宋_GB2312" w:eastAsia="仿宋_GB2312"/>
          <w:color w:val="auto"/>
          <w:sz w:val="32"/>
          <w:lang w:val="en-US" w:eastAsia="zh-CN"/>
        </w:rPr>
        <w:t>7</w:t>
      </w:r>
      <w:r>
        <w:rPr>
          <w:rFonts w:hint="eastAsia" w:ascii="仿宋_GB2312" w:hAnsi="仿宋_GB2312" w:eastAsia="仿宋_GB2312"/>
          <w:color w:val="auto"/>
          <w:sz w:val="32"/>
        </w:rPr>
        <w:t>0年</w:t>
      </w:r>
      <w:r>
        <w:rPr>
          <w:rFonts w:hint="eastAsia" w:ascii="仿宋_GB2312" w:hAnsi="仿宋_GB2312" w:eastAsia="仿宋_GB2312"/>
          <w:color w:val="auto"/>
          <w:sz w:val="32"/>
          <w:lang w:val="en-US" w:eastAsia="zh-CN"/>
        </w:rPr>
        <w:t xml:space="preserve"> </w:t>
      </w:r>
      <w:r>
        <w:rPr>
          <w:rFonts w:hint="eastAsia" w:ascii="仿宋_GB2312" w:hAnsi="仿宋_GB2312" w:eastAsia="仿宋_GB2312"/>
          <w:color w:val="auto"/>
          <w:sz w:val="32"/>
        </w:rPr>
        <w:t>商业40年</w:t>
      </w:r>
      <w:r>
        <w:rPr>
          <w:rFonts w:hint="eastAsia" w:ascii="仿宋" w:hAnsi="仿宋" w:eastAsia="仿宋" w:cs="仿宋"/>
          <w:sz w:val="32"/>
          <w:szCs w:val="32"/>
          <w:highlight w:val="none"/>
          <w:lang w:val="en-US" w:eastAsia="zh-CN"/>
        </w:rPr>
        <w:t>；</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（五）建设时间：出让合同约定的动工开发期限内动工，</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年内建设完成；</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（六）规划用地性质：</w:t>
      </w:r>
      <w:r>
        <w:rPr>
          <w:rFonts w:hint="eastAsia" w:ascii="仿宋" w:hAnsi="仿宋" w:eastAsia="仿宋" w:cs="仿宋"/>
          <w:sz w:val="32"/>
          <w:szCs w:val="32"/>
          <w:highlight w:val="none"/>
          <w:lang w:val="en-US" w:eastAsia="zh-CN"/>
        </w:rPr>
        <w:t>居住兼容商业用地；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eastAsia" w:ascii="仿宋" w:hAnsi="仿宋" w:eastAsia="仿宋"/>
          <w:color w:val="auto"/>
          <w:sz w:val="32"/>
          <w:szCs w:val="32"/>
        </w:rPr>
      </w:pPr>
      <w:r>
        <w:rPr>
          <w:rFonts w:hint="eastAsia" w:ascii="仿宋" w:hAnsi="仿宋" w:eastAsia="仿宋"/>
          <w:color w:val="auto"/>
          <w:sz w:val="32"/>
          <w:szCs w:val="32"/>
        </w:rPr>
        <w:t>（七）容积率：</w:t>
      </w:r>
      <w:r>
        <w:rPr>
          <w:rFonts w:hint="eastAsia" w:ascii="仿宋_GB2312" w:hAnsi="仿宋_GB2312" w:eastAsia="仿宋_GB2312"/>
          <w:color w:val="auto"/>
          <w:sz w:val="32"/>
          <w:lang w:val="en-US" w:eastAsia="zh-CN"/>
        </w:rPr>
        <w:t>R≤1.8</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（八）</w:t>
      </w:r>
      <w:r>
        <w:rPr>
          <w:rFonts w:hint="eastAsia" w:ascii="仿宋" w:hAnsi="仿宋" w:eastAsia="仿宋"/>
          <w:color w:val="auto"/>
          <w:sz w:val="32"/>
          <w:szCs w:val="32"/>
        </w:rPr>
        <w:t>建筑限高：</w:t>
      </w:r>
      <w:r>
        <w:rPr>
          <w:rFonts w:hint="eastAsia" w:ascii="仿宋" w:hAnsi="仿宋" w:eastAsia="仿宋"/>
          <w:color w:val="auto"/>
          <w:sz w:val="32"/>
          <w:szCs w:val="32"/>
          <w:lang w:eastAsia="zh-CN"/>
        </w:rPr>
        <w:t>≤</w:t>
      </w:r>
      <w:r>
        <w:rPr>
          <w:rFonts w:hint="eastAsia" w:ascii="仿宋_GB2312" w:hAnsi="仿宋_GB2312" w:eastAsia="仿宋_GB2312"/>
          <w:color w:val="auto"/>
          <w:sz w:val="32"/>
          <w:lang w:val="en-US" w:eastAsia="zh-CN"/>
        </w:rPr>
        <w:t>60米</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九</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绿地率：</w:t>
      </w:r>
      <w:r>
        <w:rPr>
          <w:rFonts w:hint="eastAsia" w:ascii="仿宋_GB2312" w:hAnsi="仿宋_GB2312" w:eastAsia="仿宋_GB2312"/>
          <w:color w:val="auto"/>
          <w:sz w:val="32"/>
        </w:rPr>
        <w:t>≥</w:t>
      </w:r>
      <w:r>
        <w:rPr>
          <w:rFonts w:hint="eastAsia" w:ascii="仿宋_GB2312" w:hAnsi="仿宋_GB2312" w:eastAsia="仿宋_GB2312"/>
          <w:color w:val="auto"/>
          <w:sz w:val="32"/>
          <w:lang w:val="en-US" w:eastAsia="zh-CN"/>
        </w:rPr>
        <w:t>30%</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十</w:t>
      </w:r>
      <w:r>
        <w:rPr>
          <w:rFonts w:hint="eastAsia" w:ascii="仿宋" w:hAnsi="仿宋" w:eastAsia="仿宋" w:cs="仿宋"/>
          <w:sz w:val="32"/>
          <w:szCs w:val="32"/>
          <w:highlight w:val="none"/>
        </w:rPr>
        <w:t>）</w:t>
      </w:r>
      <w:r>
        <w:rPr>
          <w:rFonts w:hint="eastAsia" w:ascii="仿宋_GB2312" w:hAnsi="仿宋_GB2312" w:eastAsia="仿宋_GB2312"/>
          <w:color w:val="auto"/>
          <w:sz w:val="32"/>
        </w:rPr>
        <w:t>建筑</w:t>
      </w:r>
      <w:r>
        <w:rPr>
          <w:rFonts w:hint="eastAsia" w:ascii="仿宋_GB2312" w:hAnsi="仿宋_GB2312" w:eastAsia="仿宋_GB2312"/>
          <w:color w:val="auto"/>
          <w:sz w:val="32"/>
          <w:lang w:eastAsia="zh-CN"/>
        </w:rPr>
        <w:t>密度</w:t>
      </w:r>
      <w:r>
        <w:rPr>
          <w:rFonts w:hint="eastAsia" w:ascii="仿宋_GB2312" w:hAnsi="仿宋_GB2312" w:eastAsia="仿宋_GB2312"/>
          <w:color w:val="auto"/>
          <w:sz w:val="32"/>
        </w:rPr>
        <w:t>：</w:t>
      </w:r>
      <w:r>
        <w:rPr>
          <w:rFonts w:hint="eastAsia" w:ascii="仿宋_GB2312" w:hAnsi="仿宋_GB2312" w:eastAsia="仿宋_GB2312"/>
          <w:color w:val="auto"/>
          <w:sz w:val="32"/>
          <w:lang w:val="en-US" w:eastAsia="zh-CN"/>
        </w:rPr>
        <w:t>≤</w:t>
      </w:r>
      <w:r>
        <w:rPr>
          <w:rFonts w:hint="eastAsia" w:ascii="仿宋_GB2312" w:hAnsi="仿宋_GB2312" w:eastAsia="仿宋_GB2312"/>
          <w:color w:val="auto"/>
          <w:sz w:val="32"/>
        </w:rPr>
        <w:t>3</w:t>
      </w:r>
      <w:r>
        <w:rPr>
          <w:rFonts w:hint="eastAsia" w:ascii="仿宋_GB2312" w:hAnsi="仿宋_GB2312" w:eastAsia="仿宋_GB2312"/>
          <w:color w:val="auto"/>
          <w:sz w:val="32"/>
          <w:lang w:val="en-US" w:eastAsia="zh-CN"/>
        </w:rPr>
        <w:t>0</w:t>
      </w:r>
      <w:r>
        <w:rPr>
          <w:rFonts w:hint="eastAsia" w:ascii="仿宋_GB2312" w:hAnsi="仿宋_GB2312" w:eastAsia="仿宋_GB2312"/>
          <w:color w:val="auto"/>
          <w:sz w:val="32"/>
        </w:rPr>
        <w:t>%</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default" w:ascii="仿宋_GB2312" w:hAnsi="仿宋_GB2312" w:eastAsia="仿宋_GB2312"/>
          <w:color w:val="auto"/>
          <w:sz w:val="32"/>
          <w:lang w:val="en-US"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十一</w:t>
      </w:r>
      <w:r>
        <w:rPr>
          <w:rFonts w:hint="eastAsia" w:ascii="仿宋" w:hAnsi="仿宋" w:eastAsia="仿宋" w:cs="仿宋"/>
          <w:sz w:val="32"/>
          <w:szCs w:val="32"/>
          <w:highlight w:val="none"/>
        </w:rPr>
        <w:t>）</w:t>
      </w:r>
      <w:r>
        <w:rPr>
          <w:rFonts w:hint="default" w:ascii="仿宋_GB2312" w:hAnsi="仿宋_GB2312" w:eastAsia="仿宋_GB2312"/>
          <w:color w:val="auto"/>
          <w:sz w:val="32"/>
          <w:lang w:val="en-US" w:eastAsia="zh-CN"/>
        </w:rPr>
        <w:t>新建住宅小区应按照每百户不少于20平方米建筑面积配建社区养老服务设施用房，且单处用房建筑面积不得少于 350</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平方米。对分期开发的新建住宅小区项目，配建的社区养老服</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务设施用房应当安排在首期，且不得拆分。对于确实无法安排</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在首期的项目，配建的社区养老服务设施用房必须在住宅总规</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模完成50%之前同步建设完成。开发建设单位应按照《老年人照</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料设施建筑设计标准》《社区老年人日间照料中心建设标准》《无</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障碍设计规范》等标准规范的要求，设计配建社区养老服务设</w:t>
      </w:r>
      <w:r>
        <w:rPr>
          <w:rFonts w:hint="default" w:ascii="仿宋_GB2312" w:hAnsi="仿宋_GB2312" w:eastAsia="仿宋_GB2312"/>
          <w:color w:val="auto"/>
          <w:sz w:val="32"/>
          <w:lang w:val="en-US" w:eastAsia="zh-CN"/>
        </w:rPr>
        <w:br w:type="textWrapping"/>
      </w:r>
      <w:r>
        <w:rPr>
          <w:rFonts w:hint="default" w:ascii="仿宋_GB2312" w:hAnsi="仿宋_GB2312" w:eastAsia="仿宋_GB2312"/>
          <w:color w:val="auto"/>
          <w:sz w:val="32"/>
          <w:lang w:val="en-US" w:eastAsia="zh-CN"/>
        </w:rPr>
        <w:t>施用房。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（十二）</w:t>
      </w:r>
      <w:r>
        <w:rPr>
          <w:rFonts w:hint="eastAsia" w:ascii="仿宋_GB2312" w:hAnsi="仿宋_GB2312" w:eastAsia="仿宋_GB2312"/>
          <w:color w:val="auto"/>
          <w:sz w:val="32"/>
          <w:lang w:val="en-US" w:eastAsia="zh-CN"/>
        </w:rPr>
        <w:t>《中华人民共和国土壤污染防治法》第五十九条第二款规定:用途变更为住宅、公共管理与公共服务用地的，变更前应当按照规定进行土壤污染状况调查。</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（十三）</w:t>
      </w:r>
      <w:r>
        <w:rPr>
          <w:rFonts w:hint="eastAsia" w:ascii="仿宋" w:hAnsi="仿宋" w:eastAsia="仿宋" w:cs="仿宋"/>
          <w:sz w:val="32"/>
          <w:szCs w:val="32"/>
          <w:highlight w:val="none"/>
        </w:rPr>
        <w:t>建筑退线要求：满足规划设计条件要求；</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（十四）</w:t>
      </w:r>
      <w:r>
        <w:rPr>
          <w:rFonts w:hint="eastAsia" w:ascii="仿宋" w:hAnsi="仿宋" w:eastAsia="仿宋" w:cs="仿宋"/>
          <w:sz w:val="32"/>
          <w:szCs w:val="32"/>
          <w:highlight w:val="none"/>
        </w:rPr>
        <w:t>出让地块的空间范围须符合城市规划管理的有关要求；</w:t>
      </w:r>
    </w:p>
    <w:p>
      <w:pPr>
        <w:spacing w:line="538" w:lineRule="exact"/>
        <w:ind w:left="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其他规划要求以规划条件书为准。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jc w:val="left"/>
        <w:textAlignment w:val="baseline"/>
        <w:outlineLvl w:val="9"/>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（十</w:t>
      </w:r>
      <w:r>
        <w:rPr>
          <w:rFonts w:hint="eastAsia" w:ascii="仿宋" w:hAnsi="仿宋" w:eastAsia="仿宋"/>
          <w:color w:val="auto"/>
          <w:sz w:val="32"/>
          <w:szCs w:val="32"/>
          <w:lang w:eastAsia="zh-CN"/>
        </w:rPr>
        <w:t>六</w:t>
      </w:r>
      <w:r>
        <w:rPr>
          <w:rFonts w:hint="eastAsia" w:ascii="仿宋" w:hAnsi="仿宋" w:eastAsia="仿宋" w:cs="仿宋"/>
          <w:sz w:val="32"/>
          <w:szCs w:val="32"/>
          <w:highlight w:val="none"/>
          <w:lang w:eastAsia="zh-CN"/>
        </w:rPr>
        <w:t>）</w:t>
      </w:r>
      <w:r>
        <w:rPr>
          <w:rFonts w:hint="eastAsia" w:ascii="仿宋_GB2312" w:hAnsi="仿宋_GB2312" w:eastAsia="仿宋_GB2312"/>
          <w:color w:val="auto"/>
          <w:sz w:val="32"/>
          <w:highlight w:val="none"/>
        </w:rPr>
        <w:t>该地块</w:t>
      </w:r>
      <w:r>
        <w:rPr>
          <w:rFonts w:hint="eastAsia" w:ascii="仿宋_GB2312" w:hAnsi="仿宋_GB2312" w:eastAsia="仿宋_GB2312"/>
          <w:b w:val="0"/>
          <w:i w:val="0"/>
          <w:strike w:val="0"/>
          <w:color w:val="auto"/>
          <w:spacing w:val="0"/>
          <w:w w:val="100"/>
          <w:sz w:val="32"/>
          <w:lang w:val="en-US" w:eastAsia="zh-CN"/>
        </w:rPr>
        <w:t>6.3417公顷，其中2.6511公顷</w:t>
      </w:r>
      <w:r>
        <w:rPr>
          <w:rFonts w:hint="eastAsia" w:ascii="仿宋_GB2312" w:hAnsi="仿宋_GB2312" w:eastAsia="仿宋_GB2312"/>
          <w:color w:val="auto"/>
          <w:sz w:val="32"/>
          <w:highlight w:val="none"/>
        </w:rPr>
        <w:t>为乌达区</w:t>
      </w:r>
      <w:r>
        <w:rPr>
          <w:rFonts w:hint="eastAsia" w:ascii="仿宋_GB2312" w:hAnsi="仿宋_GB2312" w:eastAsia="仿宋_GB2312"/>
          <w:color w:val="auto"/>
          <w:sz w:val="32"/>
          <w:highlight w:val="none"/>
          <w:lang w:val="en-US" w:eastAsia="zh-CN"/>
        </w:rPr>
        <w:t>2011年第三批次新增</w:t>
      </w:r>
      <w:r>
        <w:rPr>
          <w:rFonts w:hint="eastAsia" w:ascii="仿宋_GB2312" w:hAnsi="仿宋_GB2312" w:eastAsia="仿宋_GB2312"/>
          <w:color w:val="auto"/>
          <w:sz w:val="32"/>
          <w:highlight w:val="none"/>
          <w:lang w:eastAsia="zh-CN"/>
        </w:rPr>
        <w:t>建设用地，</w:t>
      </w:r>
      <w:r>
        <w:rPr>
          <w:rFonts w:hint="eastAsia" w:ascii="仿宋_GB2312" w:hAnsi="仿宋_GB2312" w:eastAsia="仿宋_GB2312"/>
          <w:color w:val="auto"/>
          <w:sz w:val="32"/>
          <w:highlight w:val="none"/>
          <w:lang w:val="en-US" w:eastAsia="zh-CN"/>
        </w:rPr>
        <w:t>3.6906公顷为</w:t>
      </w:r>
      <w:r>
        <w:rPr>
          <w:rFonts w:hint="eastAsia" w:ascii="仿宋_GB2312" w:hAnsi="仿宋_GB2312" w:eastAsia="仿宋_GB2312"/>
          <w:color w:val="auto"/>
          <w:sz w:val="32"/>
          <w:highlight w:val="none"/>
        </w:rPr>
        <w:t>为乌达区</w:t>
      </w:r>
      <w:r>
        <w:rPr>
          <w:rFonts w:hint="eastAsia" w:ascii="仿宋_GB2312" w:hAnsi="仿宋_GB2312" w:eastAsia="仿宋_GB2312"/>
          <w:color w:val="auto"/>
          <w:sz w:val="32"/>
          <w:highlight w:val="none"/>
          <w:lang w:val="en-US" w:eastAsia="zh-CN"/>
        </w:rPr>
        <w:t>2010年第四批次新增</w:t>
      </w:r>
      <w:r>
        <w:rPr>
          <w:rFonts w:hint="eastAsia" w:ascii="仿宋_GB2312" w:hAnsi="仿宋_GB2312" w:eastAsia="仿宋_GB2312"/>
          <w:color w:val="auto"/>
          <w:sz w:val="32"/>
          <w:highlight w:val="none"/>
          <w:lang w:eastAsia="zh-CN"/>
        </w:rPr>
        <w:t>建设用地</w:t>
      </w:r>
      <w:r>
        <w:rPr>
          <w:rFonts w:hint="eastAsia" w:ascii="仿宋_GB2312" w:hAnsi="仿宋_GB2312" w:eastAsia="仿宋_GB2312"/>
          <w:color w:val="auto"/>
          <w:sz w:val="32"/>
          <w:highlight w:val="none"/>
        </w:rPr>
        <w:t>。</w:t>
      </w:r>
      <w:r>
        <w:rPr>
          <w:rFonts w:hint="eastAsia" w:ascii="仿宋" w:hAnsi="仿宋" w:eastAsia="仿宋" w:cs="仿宋"/>
          <w:color w:val="auto"/>
          <w:kern w:val="2"/>
          <w:sz w:val="32"/>
          <w:szCs w:val="32"/>
          <w:highlight w:val="none"/>
          <w:vertAlign w:val="baseline"/>
          <w:lang w:val="en-US" w:eastAsia="zh-CN" w:bidi="ar"/>
        </w:rPr>
        <w:t>现净地挂牌。</w:t>
      </w:r>
      <w:r>
        <w:rPr>
          <w:rFonts w:hint="eastAsia" w:ascii="仿宋" w:hAnsi="仿宋" w:eastAsia="仿宋" w:cs="仿宋"/>
          <w:color w:val="auto"/>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olor w:val="auto"/>
          <w:sz w:val="32"/>
          <w:szCs w:val="32"/>
        </w:rPr>
        <w:t>（十</w:t>
      </w:r>
      <w:r>
        <w:rPr>
          <w:rFonts w:hint="eastAsia" w:ascii="仿宋" w:hAnsi="仿宋" w:eastAsia="仿宋"/>
          <w:color w:val="auto"/>
          <w:sz w:val="32"/>
          <w:szCs w:val="32"/>
          <w:lang w:eastAsia="zh-CN"/>
        </w:rPr>
        <w:t>六</w:t>
      </w:r>
      <w:r>
        <w:rPr>
          <w:rFonts w:hint="eastAsia" w:ascii="仿宋" w:hAnsi="仿宋" w:eastAsia="仿宋"/>
          <w:color w:val="auto"/>
          <w:sz w:val="32"/>
          <w:szCs w:val="32"/>
        </w:rPr>
        <w:t>）其他要求：出让地块的空间范围须符合城市规划管理的有关</w:t>
      </w:r>
      <w:r>
        <w:rPr>
          <w:rFonts w:hint="eastAsia" w:ascii="仿宋" w:hAnsi="仿宋" w:eastAsia="仿宋" w:cs="仿宋"/>
          <w:color w:val="auto"/>
          <w:sz w:val="32"/>
          <w:szCs w:val="32"/>
          <w:highlight w:val="none"/>
        </w:rPr>
        <w:t>要求，必须严格按照《内蒙古自治区建设用地规划条件书》（条字第：</w:t>
      </w:r>
      <w:r>
        <w:rPr>
          <w:rFonts w:hint="eastAsia" w:ascii="仿宋" w:hAnsi="仿宋" w:eastAsia="仿宋" w:cs="仿宋"/>
          <w:color w:val="auto"/>
          <w:sz w:val="32"/>
          <w:szCs w:val="32"/>
          <w:highlight w:val="none"/>
          <w:lang w:eastAsia="zh-CN"/>
        </w:rPr>
        <w:t>15030</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20</w:t>
      </w:r>
      <w:r>
        <w:rPr>
          <w:rFonts w:hint="eastAsia" w:ascii="仿宋" w:hAnsi="仿宋" w:eastAsia="仿宋" w:cs="仿宋"/>
          <w:color w:val="auto"/>
          <w:sz w:val="32"/>
          <w:szCs w:val="32"/>
          <w:highlight w:val="none"/>
          <w:lang w:val="en-US" w:eastAsia="zh-CN"/>
        </w:rPr>
        <w:t>2200017</w:t>
      </w:r>
      <w:r>
        <w:rPr>
          <w:rFonts w:hint="eastAsia" w:ascii="仿宋" w:hAnsi="仿宋" w:eastAsia="仿宋" w:cs="仿宋"/>
          <w:color w:val="auto"/>
          <w:sz w:val="32"/>
          <w:szCs w:val="32"/>
          <w:highlight w:val="none"/>
        </w:rPr>
        <w:t>号）的有关要求进行建</w:t>
      </w:r>
      <w:r>
        <w:rPr>
          <w:rFonts w:hint="eastAsia" w:ascii="仿宋" w:hAnsi="仿宋" w:eastAsia="仿宋" w:cs="仿宋"/>
          <w:sz w:val="32"/>
          <w:szCs w:val="32"/>
          <w:highlight w:val="none"/>
        </w:rPr>
        <w:t>设</w:t>
      </w:r>
      <w:r>
        <w:rPr>
          <w:rFonts w:hint="eastAsia" w:ascii="仿宋" w:hAnsi="仿宋" w:eastAsia="仿宋" w:cs="仿宋"/>
          <w:sz w:val="32"/>
          <w:szCs w:val="32"/>
          <w:highlight w:val="none"/>
          <w:lang w:eastAsia="zh-CN"/>
        </w:rPr>
        <w:t>。</w:t>
      </w:r>
    </w:p>
    <w:p>
      <w:pPr>
        <w:spacing w:line="538" w:lineRule="exact"/>
        <w:ind w:left="0" w:firstLine="643" w:firstLineChars="200"/>
        <w:rPr>
          <w:rFonts w:hint="eastAsia" w:ascii="仿宋" w:hAnsi="仿宋" w:eastAsia="仿宋"/>
          <w:b/>
          <w:color w:val="000000" w:themeColor="text1"/>
          <w:sz w:val="32"/>
          <w:szCs w:val="32"/>
          <w:lang w:eastAsia="zh-CN"/>
          <w14:textFill>
            <w14:solidFill>
              <w14:schemeClr w14:val="tx1"/>
            </w14:solidFill>
          </w14:textFill>
        </w:rPr>
      </w:pP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auto"/>
          <w:sz w:val="32"/>
          <w:szCs w:val="32"/>
          <w:highlight w:val="yellow"/>
        </w:rPr>
      </w:pPr>
      <w:r>
        <w:rPr>
          <w:rFonts w:hint="eastAsia" w:ascii="仿宋" w:hAnsi="仿宋" w:eastAsia="仿宋"/>
          <w:color w:val="auto"/>
          <w:sz w:val="32"/>
          <w:szCs w:val="32"/>
        </w:rPr>
        <w:t>交纳竞买保证金的截止时间为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地块竞买保证金为：</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_GB2312" w:hAnsi="仿宋_GB2312" w:eastAsia="仿宋_GB2312"/>
          <w:color w:val="auto"/>
          <w:sz w:val="32"/>
          <w:lang w:eastAsia="zh-CN"/>
        </w:rPr>
      </w:pPr>
      <w:r>
        <w:rPr>
          <w:rFonts w:hint="eastAsia" w:ascii="仿宋" w:hAnsi="仿宋" w:eastAsia="仿宋"/>
          <w:color w:val="auto"/>
          <w:sz w:val="32"/>
          <w:szCs w:val="32"/>
          <w:lang w:val="en-US" w:eastAsia="zh-CN"/>
        </w:rPr>
        <w:t>地块一：2155.5006万元（贰仟壹佰伍拾伍万伍仟零陆元整）</w:t>
      </w:r>
      <w:r>
        <w:rPr>
          <w:rFonts w:hint="eastAsia" w:ascii="仿宋_GB2312" w:hAnsi="仿宋_GB2312" w:eastAsia="仿宋_GB2312"/>
          <w:color w:val="auto"/>
          <w:sz w:val="32"/>
          <w:lang w:eastAsia="zh-CN"/>
        </w:rPr>
        <w:t>；</w:t>
      </w:r>
    </w:p>
    <w:p>
      <w:pPr>
        <w:spacing w:line="540"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宗地的挂牌起始价</w:t>
      </w:r>
      <w:r>
        <w:rPr>
          <w:rFonts w:hint="eastAsia" w:ascii="仿宋" w:hAnsi="仿宋" w:eastAsia="仿宋"/>
          <w:color w:val="auto"/>
          <w:sz w:val="32"/>
          <w:szCs w:val="32"/>
          <w:lang w:eastAsia="zh-CN"/>
        </w:rPr>
        <w:t>：</w:t>
      </w:r>
    </w:p>
    <w:p>
      <w:pPr>
        <w:spacing w:line="540"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地块二：3950.8791元（叁仟玖佰伍拾万捌仟柒佰玖拾壹元整）</w:t>
      </w:r>
      <w:r>
        <w:rPr>
          <w:rFonts w:hint="eastAsia"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_GB2312" w:hAnsi="仿宋_GB2312" w:eastAsia="仿宋_GB2312"/>
          <w:color w:val="auto"/>
          <w:sz w:val="32"/>
          <w:lang w:eastAsia="zh-CN"/>
        </w:rPr>
      </w:pPr>
      <w:r>
        <w:rPr>
          <w:rFonts w:hint="eastAsia" w:ascii="仿宋" w:hAnsi="仿宋" w:eastAsia="仿宋"/>
          <w:color w:val="auto"/>
          <w:sz w:val="32"/>
          <w:szCs w:val="32"/>
          <w:lang w:val="en-US" w:eastAsia="zh-CN"/>
        </w:rPr>
        <w:t>地块一：2155.5006万元（贰仟壹佰伍拾伍万伍仟零陆元整），</w:t>
      </w:r>
      <w:r>
        <w:rPr>
          <w:rFonts w:hint="eastAsia" w:ascii="仿宋" w:hAnsi="仿宋" w:eastAsia="仿宋" w:cs="仿宋"/>
          <w:color w:val="auto"/>
          <w:sz w:val="32"/>
          <w:szCs w:val="32"/>
          <w:highlight w:val="none"/>
          <w:lang w:val="en-US" w:eastAsia="zh-CN"/>
        </w:rPr>
        <w:t>增价幅度为每竞价一次增加人民币20万元（贰拾万元）</w:t>
      </w:r>
      <w:r>
        <w:rPr>
          <w:rFonts w:hint="eastAsia"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_GB2312" w:hAnsi="仿宋_GB2312" w:eastAsia="仿宋_GB2312"/>
          <w:color w:val="auto"/>
          <w:sz w:val="32"/>
          <w:lang w:eastAsia="zh-CN"/>
        </w:rPr>
      </w:pPr>
      <w:r>
        <w:rPr>
          <w:rFonts w:hint="eastAsia" w:ascii="仿宋" w:hAnsi="仿宋" w:eastAsia="仿宋"/>
          <w:color w:val="auto"/>
          <w:sz w:val="32"/>
          <w:szCs w:val="32"/>
          <w:lang w:val="en-US" w:eastAsia="zh-CN"/>
        </w:rPr>
        <w:t>地块二：3950.8791元（叁仟玖佰伍拾万捌仟柒佰玖拾壹元整），</w:t>
      </w:r>
      <w:r>
        <w:rPr>
          <w:rFonts w:hint="eastAsia" w:ascii="仿宋" w:hAnsi="仿宋" w:eastAsia="仿宋" w:cs="仿宋"/>
          <w:color w:val="auto"/>
          <w:sz w:val="32"/>
          <w:szCs w:val="32"/>
          <w:highlight w:val="none"/>
          <w:lang w:val="en-US" w:eastAsia="zh-CN"/>
        </w:rPr>
        <w:t>增价幅度为每竞价一次增加人民币20万元（贰拾万元）</w:t>
      </w:r>
      <w:r>
        <w:rPr>
          <w:rFonts w:hint="eastAsia"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7"/>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7"/>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7"/>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7"/>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7"/>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right"/>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乌海市公共资源交易中心</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highlight w:val="none"/>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11</w:t>
      </w:r>
      <w:r>
        <w:rPr>
          <w:rFonts w:hint="eastAsia" w:ascii="仿宋" w:hAnsi="仿宋" w:eastAsia="仿宋" w:cs="FangSong_GB2312"/>
          <w:color w:val="auto"/>
          <w:sz w:val="32"/>
          <w:szCs w:val="32"/>
          <w:highlight w:val="none"/>
        </w:rPr>
        <w:t>日</w:t>
      </w: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roman"/>
    <w:pitch w:val="default"/>
    <w:sig w:usb0="00000000" w:usb1="00000000" w:usb2="00000000" w:usb3="00000000" w:csb0="00040000" w:csb1="00000000"/>
  </w:font>
  <w:font w:name="FangSong_GB2312falt">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24600CB"/>
    <w:rsid w:val="028B18FB"/>
    <w:rsid w:val="029A7C8F"/>
    <w:rsid w:val="02DE5ECF"/>
    <w:rsid w:val="02E903CF"/>
    <w:rsid w:val="03012EB6"/>
    <w:rsid w:val="030C2C1F"/>
    <w:rsid w:val="03E05C76"/>
    <w:rsid w:val="040F0053"/>
    <w:rsid w:val="041059C0"/>
    <w:rsid w:val="04115814"/>
    <w:rsid w:val="044E1C2B"/>
    <w:rsid w:val="04640655"/>
    <w:rsid w:val="048A0CB8"/>
    <w:rsid w:val="05551D6C"/>
    <w:rsid w:val="05931291"/>
    <w:rsid w:val="05B483A2"/>
    <w:rsid w:val="064328C1"/>
    <w:rsid w:val="06734B80"/>
    <w:rsid w:val="06777248"/>
    <w:rsid w:val="06B63265"/>
    <w:rsid w:val="07115CFE"/>
    <w:rsid w:val="07141709"/>
    <w:rsid w:val="07492231"/>
    <w:rsid w:val="074C630C"/>
    <w:rsid w:val="07911761"/>
    <w:rsid w:val="08E91C8E"/>
    <w:rsid w:val="091C14FF"/>
    <w:rsid w:val="09554F7F"/>
    <w:rsid w:val="09AC5238"/>
    <w:rsid w:val="09B91E73"/>
    <w:rsid w:val="0B453DBF"/>
    <w:rsid w:val="0B6C7DF0"/>
    <w:rsid w:val="0C3A6B50"/>
    <w:rsid w:val="0CBC55DD"/>
    <w:rsid w:val="0D621DA0"/>
    <w:rsid w:val="0E175E4F"/>
    <w:rsid w:val="0E430E78"/>
    <w:rsid w:val="0E74336A"/>
    <w:rsid w:val="0F3D3A4A"/>
    <w:rsid w:val="0F61151D"/>
    <w:rsid w:val="0F915630"/>
    <w:rsid w:val="0FBC682D"/>
    <w:rsid w:val="0FDA5E7C"/>
    <w:rsid w:val="0FE62886"/>
    <w:rsid w:val="106422A2"/>
    <w:rsid w:val="11020FDA"/>
    <w:rsid w:val="121E6E1F"/>
    <w:rsid w:val="124A5E7C"/>
    <w:rsid w:val="124F64A1"/>
    <w:rsid w:val="12FD669C"/>
    <w:rsid w:val="13620456"/>
    <w:rsid w:val="141C6857"/>
    <w:rsid w:val="145664B1"/>
    <w:rsid w:val="14956609"/>
    <w:rsid w:val="14A76EDE"/>
    <w:rsid w:val="14B1541F"/>
    <w:rsid w:val="14CB202B"/>
    <w:rsid w:val="15681628"/>
    <w:rsid w:val="16133C89"/>
    <w:rsid w:val="1615355E"/>
    <w:rsid w:val="172F9911"/>
    <w:rsid w:val="175E4A65"/>
    <w:rsid w:val="18000D5A"/>
    <w:rsid w:val="182A0D45"/>
    <w:rsid w:val="18CB2A86"/>
    <w:rsid w:val="18CF5571"/>
    <w:rsid w:val="18EC3795"/>
    <w:rsid w:val="1945669A"/>
    <w:rsid w:val="196D7CBC"/>
    <w:rsid w:val="1A0C2EC9"/>
    <w:rsid w:val="1A676352"/>
    <w:rsid w:val="1A713C1F"/>
    <w:rsid w:val="1AC506ED"/>
    <w:rsid w:val="1B3A0A95"/>
    <w:rsid w:val="1B3A2F9D"/>
    <w:rsid w:val="1B3A3A66"/>
    <w:rsid w:val="1B903686"/>
    <w:rsid w:val="1BAF0938"/>
    <w:rsid w:val="1C067028"/>
    <w:rsid w:val="1C3D1E77"/>
    <w:rsid w:val="1C661E6D"/>
    <w:rsid w:val="1CEF7A6F"/>
    <w:rsid w:val="1D3B0967"/>
    <w:rsid w:val="1D935945"/>
    <w:rsid w:val="1DBD4B98"/>
    <w:rsid w:val="1DCF493A"/>
    <w:rsid w:val="1DEB1048"/>
    <w:rsid w:val="1DF22B3C"/>
    <w:rsid w:val="1E420CBE"/>
    <w:rsid w:val="1EF06916"/>
    <w:rsid w:val="1F625C18"/>
    <w:rsid w:val="1F767E64"/>
    <w:rsid w:val="1F7F7E6A"/>
    <w:rsid w:val="1FB71B33"/>
    <w:rsid w:val="1FF82CAC"/>
    <w:rsid w:val="202647F7"/>
    <w:rsid w:val="206A5224"/>
    <w:rsid w:val="20CF1F6B"/>
    <w:rsid w:val="20F31418"/>
    <w:rsid w:val="210C37AF"/>
    <w:rsid w:val="212E273D"/>
    <w:rsid w:val="21527B83"/>
    <w:rsid w:val="215A09BE"/>
    <w:rsid w:val="21D32688"/>
    <w:rsid w:val="220973D9"/>
    <w:rsid w:val="227B707F"/>
    <w:rsid w:val="22CB5E23"/>
    <w:rsid w:val="22E42C35"/>
    <w:rsid w:val="235F294A"/>
    <w:rsid w:val="23653452"/>
    <w:rsid w:val="23D55D20"/>
    <w:rsid w:val="23FB76B9"/>
    <w:rsid w:val="23FE3883"/>
    <w:rsid w:val="243634F3"/>
    <w:rsid w:val="246F478D"/>
    <w:rsid w:val="24AD1BC4"/>
    <w:rsid w:val="250A344E"/>
    <w:rsid w:val="25590B49"/>
    <w:rsid w:val="258E50DA"/>
    <w:rsid w:val="259C1DC8"/>
    <w:rsid w:val="25DE3CBB"/>
    <w:rsid w:val="25E511E1"/>
    <w:rsid w:val="266E4003"/>
    <w:rsid w:val="267A11BB"/>
    <w:rsid w:val="268812DB"/>
    <w:rsid w:val="269654E3"/>
    <w:rsid w:val="270B7AC8"/>
    <w:rsid w:val="270B7E24"/>
    <w:rsid w:val="27703550"/>
    <w:rsid w:val="28074CD0"/>
    <w:rsid w:val="290F05C4"/>
    <w:rsid w:val="294D73CE"/>
    <w:rsid w:val="29732316"/>
    <w:rsid w:val="2984009C"/>
    <w:rsid w:val="29862108"/>
    <w:rsid w:val="298F6472"/>
    <w:rsid w:val="29FC015B"/>
    <w:rsid w:val="2A7517C0"/>
    <w:rsid w:val="2A795E57"/>
    <w:rsid w:val="2AE80AD7"/>
    <w:rsid w:val="2AF272BD"/>
    <w:rsid w:val="2B7BB2C8"/>
    <w:rsid w:val="2C93023E"/>
    <w:rsid w:val="2D0A159E"/>
    <w:rsid w:val="2D7D772A"/>
    <w:rsid w:val="2DE15604"/>
    <w:rsid w:val="2DF71C47"/>
    <w:rsid w:val="2E043D71"/>
    <w:rsid w:val="2E1A2CBD"/>
    <w:rsid w:val="2E8E6166"/>
    <w:rsid w:val="2EA9088F"/>
    <w:rsid w:val="2F422332"/>
    <w:rsid w:val="2F566C69"/>
    <w:rsid w:val="2F9B467C"/>
    <w:rsid w:val="304E5B92"/>
    <w:rsid w:val="305247DB"/>
    <w:rsid w:val="308415B4"/>
    <w:rsid w:val="309C34AC"/>
    <w:rsid w:val="309F60E3"/>
    <w:rsid w:val="30B04521"/>
    <w:rsid w:val="31485B61"/>
    <w:rsid w:val="315076E8"/>
    <w:rsid w:val="318B3424"/>
    <w:rsid w:val="31D2190C"/>
    <w:rsid w:val="31FFC90B"/>
    <w:rsid w:val="325244A3"/>
    <w:rsid w:val="32655415"/>
    <w:rsid w:val="32B70DC5"/>
    <w:rsid w:val="32D70A47"/>
    <w:rsid w:val="33016F86"/>
    <w:rsid w:val="33653D7A"/>
    <w:rsid w:val="33725B8E"/>
    <w:rsid w:val="33A27236"/>
    <w:rsid w:val="33C06508"/>
    <w:rsid w:val="340A662D"/>
    <w:rsid w:val="34360E17"/>
    <w:rsid w:val="34903798"/>
    <w:rsid w:val="34C2697F"/>
    <w:rsid w:val="35207CA0"/>
    <w:rsid w:val="35296DE4"/>
    <w:rsid w:val="355C181D"/>
    <w:rsid w:val="356F70AA"/>
    <w:rsid w:val="35A053D3"/>
    <w:rsid w:val="35AC25ED"/>
    <w:rsid w:val="35D11B70"/>
    <w:rsid w:val="362E3CD5"/>
    <w:rsid w:val="36354047"/>
    <w:rsid w:val="36F11B9A"/>
    <w:rsid w:val="3770AE20"/>
    <w:rsid w:val="38B4392F"/>
    <w:rsid w:val="38D07641"/>
    <w:rsid w:val="39580A05"/>
    <w:rsid w:val="397F0B6A"/>
    <w:rsid w:val="39BA0B35"/>
    <w:rsid w:val="39D013C6"/>
    <w:rsid w:val="3A2F7D52"/>
    <w:rsid w:val="3A7868EF"/>
    <w:rsid w:val="3A8B3E85"/>
    <w:rsid w:val="3B092B44"/>
    <w:rsid w:val="3B405113"/>
    <w:rsid w:val="3BF70C95"/>
    <w:rsid w:val="3BFBB104"/>
    <w:rsid w:val="3BFFECF0"/>
    <w:rsid w:val="3CB55BF6"/>
    <w:rsid w:val="3CED0AEA"/>
    <w:rsid w:val="3D387D66"/>
    <w:rsid w:val="3E1034A1"/>
    <w:rsid w:val="3E1B36E3"/>
    <w:rsid w:val="3E447CFD"/>
    <w:rsid w:val="3E8FA754"/>
    <w:rsid w:val="3EE735A7"/>
    <w:rsid w:val="3FB461A6"/>
    <w:rsid w:val="3FB746DE"/>
    <w:rsid w:val="3FD7669F"/>
    <w:rsid w:val="3FFA9715"/>
    <w:rsid w:val="3FFCEBC4"/>
    <w:rsid w:val="3FFD3784"/>
    <w:rsid w:val="3FFDB0E9"/>
    <w:rsid w:val="403703F1"/>
    <w:rsid w:val="40DC6D8D"/>
    <w:rsid w:val="40E52187"/>
    <w:rsid w:val="41087697"/>
    <w:rsid w:val="412A20B8"/>
    <w:rsid w:val="418E6E19"/>
    <w:rsid w:val="42004812"/>
    <w:rsid w:val="420B0476"/>
    <w:rsid w:val="42894808"/>
    <w:rsid w:val="42D86298"/>
    <w:rsid w:val="42EE0B0F"/>
    <w:rsid w:val="434F1AD6"/>
    <w:rsid w:val="436C4C92"/>
    <w:rsid w:val="43874EB8"/>
    <w:rsid w:val="439F739E"/>
    <w:rsid w:val="43C53EED"/>
    <w:rsid w:val="43DB1093"/>
    <w:rsid w:val="44086D9A"/>
    <w:rsid w:val="440B71BB"/>
    <w:rsid w:val="4441584C"/>
    <w:rsid w:val="444C65CD"/>
    <w:rsid w:val="444F4F3A"/>
    <w:rsid w:val="446E1C6F"/>
    <w:rsid w:val="44EF6B85"/>
    <w:rsid w:val="4525470A"/>
    <w:rsid w:val="45780F51"/>
    <w:rsid w:val="45C323F1"/>
    <w:rsid w:val="46301D91"/>
    <w:rsid w:val="466330FF"/>
    <w:rsid w:val="467363F8"/>
    <w:rsid w:val="46DE5907"/>
    <w:rsid w:val="47310BC3"/>
    <w:rsid w:val="473968FE"/>
    <w:rsid w:val="474732F8"/>
    <w:rsid w:val="47DA120A"/>
    <w:rsid w:val="485F7C46"/>
    <w:rsid w:val="498E0956"/>
    <w:rsid w:val="49F8C695"/>
    <w:rsid w:val="49FC6E82"/>
    <w:rsid w:val="4AC128C1"/>
    <w:rsid w:val="4AC436A6"/>
    <w:rsid w:val="4AE43D33"/>
    <w:rsid w:val="4B3308B5"/>
    <w:rsid w:val="4B337875"/>
    <w:rsid w:val="4B5E0F69"/>
    <w:rsid w:val="4B727C4A"/>
    <w:rsid w:val="4BF7C01A"/>
    <w:rsid w:val="4C592403"/>
    <w:rsid w:val="4C863DA4"/>
    <w:rsid w:val="4CC56D43"/>
    <w:rsid w:val="4CF431C6"/>
    <w:rsid w:val="4D101657"/>
    <w:rsid w:val="4D166C24"/>
    <w:rsid w:val="4D2A484F"/>
    <w:rsid w:val="4D6B3488"/>
    <w:rsid w:val="4D891B60"/>
    <w:rsid w:val="4D9F11C4"/>
    <w:rsid w:val="4DB43081"/>
    <w:rsid w:val="4E120E4F"/>
    <w:rsid w:val="4EE15319"/>
    <w:rsid w:val="4EE74755"/>
    <w:rsid w:val="4F755F96"/>
    <w:rsid w:val="4FCE7CFE"/>
    <w:rsid w:val="50DB56F2"/>
    <w:rsid w:val="51791EEB"/>
    <w:rsid w:val="526B7E3F"/>
    <w:rsid w:val="52941907"/>
    <w:rsid w:val="52A925E8"/>
    <w:rsid w:val="52EB531A"/>
    <w:rsid w:val="534E30A1"/>
    <w:rsid w:val="53826985"/>
    <w:rsid w:val="53866166"/>
    <w:rsid w:val="53E27405"/>
    <w:rsid w:val="54090B2A"/>
    <w:rsid w:val="54B20F72"/>
    <w:rsid w:val="54B82E4B"/>
    <w:rsid w:val="54FD6961"/>
    <w:rsid w:val="550A1849"/>
    <w:rsid w:val="551B6DA4"/>
    <w:rsid w:val="55340EE1"/>
    <w:rsid w:val="55BD5204"/>
    <w:rsid w:val="56006F4E"/>
    <w:rsid w:val="560E354A"/>
    <w:rsid w:val="57684EDC"/>
    <w:rsid w:val="577B5D8A"/>
    <w:rsid w:val="57893085"/>
    <w:rsid w:val="59559C19"/>
    <w:rsid w:val="597A34A2"/>
    <w:rsid w:val="59D76D95"/>
    <w:rsid w:val="59F20F41"/>
    <w:rsid w:val="5B302D4D"/>
    <w:rsid w:val="5B7E082A"/>
    <w:rsid w:val="5C2B6D59"/>
    <w:rsid w:val="5C8B41AB"/>
    <w:rsid w:val="5D245C48"/>
    <w:rsid w:val="5D423AD9"/>
    <w:rsid w:val="5D646D9A"/>
    <w:rsid w:val="5D91981A"/>
    <w:rsid w:val="5DB6074F"/>
    <w:rsid w:val="5DBF55FA"/>
    <w:rsid w:val="5DBFFD0E"/>
    <w:rsid w:val="5EA82788"/>
    <w:rsid w:val="5F0A4C2A"/>
    <w:rsid w:val="5F23318E"/>
    <w:rsid w:val="5F264AF1"/>
    <w:rsid w:val="5FDF615F"/>
    <w:rsid w:val="608F40A8"/>
    <w:rsid w:val="609355AC"/>
    <w:rsid w:val="60957D19"/>
    <w:rsid w:val="609B040A"/>
    <w:rsid w:val="61654438"/>
    <w:rsid w:val="61C86D4A"/>
    <w:rsid w:val="62807BBC"/>
    <w:rsid w:val="62BB5EA5"/>
    <w:rsid w:val="62C751AC"/>
    <w:rsid w:val="63193E36"/>
    <w:rsid w:val="63844E4C"/>
    <w:rsid w:val="638A48B7"/>
    <w:rsid w:val="64852C29"/>
    <w:rsid w:val="64AE59F6"/>
    <w:rsid w:val="65B56C0B"/>
    <w:rsid w:val="65C97631"/>
    <w:rsid w:val="65F21AB3"/>
    <w:rsid w:val="66251B68"/>
    <w:rsid w:val="66664CDC"/>
    <w:rsid w:val="67127912"/>
    <w:rsid w:val="6732221A"/>
    <w:rsid w:val="674D1342"/>
    <w:rsid w:val="67A51B4D"/>
    <w:rsid w:val="67E79F8E"/>
    <w:rsid w:val="681B4A8F"/>
    <w:rsid w:val="6849021F"/>
    <w:rsid w:val="687A3C05"/>
    <w:rsid w:val="68940414"/>
    <w:rsid w:val="69553B4D"/>
    <w:rsid w:val="69724AD7"/>
    <w:rsid w:val="698F2F8F"/>
    <w:rsid w:val="699A7177"/>
    <w:rsid w:val="699F771D"/>
    <w:rsid w:val="6AF74681"/>
    <w:rsid w:val="6B030D4C"/>
    <w:rsid w:val="6B807383"/>
    <w:rsid w:val="6BBD6062"/>
    <w:rsid w:val="6BE74E19"/>
    <w:rsid w:val="6BFD4A2D"/>
    <w:rsid w:val="6C001E4A"/>
    <w:rsid w:val="6C0E785F"/>
    <w:rsid w:val="6CD37D36"/>
    <w:rsid w:val="6D6F26C8"/>
    <w:rsid w:val="6E18382A"/>
    <w:rsid w:val="6E2A65EF"/>
    <w:rsid w:val="6E625D89"/>
    <w:rsid w:val="6E7855AD"/>
    <w:rsid w:val="6EBF6F4C"/>
    <w:rsid w:val="6EC891E3"/>
    <w:rsid w:val="6EEA7B57"/>
    <w:rsid w:val="6F072F62"/>
    <w:rsid w:val="6F7955B3"/>
    <w:rsid w:val="6FAE76E8"/>
    <w:rsid w:val="6FEE04BD"/>
    <w:rsid w:val="700239E9"/>
    <w:rsid w:val="70151CB4"/>
    <w:rsid w:val="719641E7"/>
    <w:rsid w:val="71C92F88"/>
    <w:rsid w:val="71DB0B17"/>
    <w:rsid w:val="71FFD3E6"/>
    <w:rsid w:val="72946F4B"/>
    <w:rsid w:val="72AD56B1"/>
    <w:rsid w:val="72C64E61"/>
    <w:rsid w:val="730829F7"/>
    <w:rsid w:val="73177C77"/>
    <w:rsid w:val="73641BFE"/>
    <w:rsid w:val="73D0382F"/>
    <w:rsid w:val="745C32DA"/>
    <w:rsid w:val="74B66E2F"/>
    <w:rsid w:val="74CE6A7E"/>
    <w:rsid w:val="74EE6617"/>
    <w:rsid w:val="753A180E"/>
    <w:rsid w:val="756276E8"/>
    <w:rsid w:val="75734D20"/>
    <w:rsid w:val="75864A53"/>
    <w:rsid w:val="75B77661"/>
    <w:rsid w:val="75FFBDB4"/>
    <w:rsid w:val="760834D9"/>
    <w:rsid w:val="76BF43FB"/>
    <w:rsid w:val="76F77FE7"/>
    <w:rsid w:val="77BFB026"/>
    <w:rsid w:val="77BFD1C5"/>
    <w:rsid w:val="77F9DFE2"/>
    <w:rsid w:val="788460D8"/>
    <w:rsid w:val="78B6564F"/>
    <w:rsid w:val="78EA354B"/>
    <w:rsid w:val="795B4B05"/>
    <w:rsid w:val="796C41D4"/>
    <w:rsid w:val="796D2967"/>
    <w:rsid w:val="798FCC65"/>
    <w:rsid w:val="79CD5CEC"/>
    <w:rsid w:val="79DF2FE2"/>
    <w:rsid w:val="7A592736"/>
    <w:rsid w:val="7AA240DD"/>
    <w:rsid w:val="7AA37E55"/>
    <w:rsid w:val="7AB99CA5"/>
    <w:rsid w:val="7B3B7919"/>
    <w:rsid w:val="7B683833"/>
    <w:rsid w:val="7B6F7CF7"/>
    <w:rsid w:val="7BCB011B"/>
    <w:rsid w:val="7BDF698C"/>
    <w:rsid w:val="7C4B2B74"/>
    <w:rsid w:val="7C804BFA"/>
    <w:rsid w:val="7C831CEC"/>
    <w:rsid w:val="7C89326C"/>
    <w:rsid w:val="7CC516EE"/>
    <w:rsid w:val="7CFF2A1E"/>
    <w:rsid w:val="7CFF42A6"/>
    <w:rsid w:val="7D013D1F"/>
    <w:rsid w:val="7D0746CC"/>
    <w:rsid w:val="7D26648E"/>
    <w:rsid w:val="7D8904F4"/>
    <w:rsid w:val="7E3F648E"/>
    <w:rsid w:val="7E611BB9"/>
    <w:rsid w:val="7E7D73FF"/>
    <w:rsid w:val="7EAB9899"/>
    <w:rsid w:val="7EB77390"/>
    <w:rsid w:val="7EF70770"/>
    <w:rsid w:val="7EFC21B4"/>
    <w:rsid w:val="7F70030F"/>
    <w:rsid w:val="7F7BA62B"/>
    <w:rsid w:val="7F7F7604"/>
    <w:rsid w:val="7FBE5BC7"/>
    <w:rsid w:val="7FDF3ACB"/>
    <w:rsid w:val="7FF23297"/>
    <w:rsid w:val="7FF67DF6"/>
    <w:rsid w:val="7FFBA5D9"/>
    <w:rsid w:val="9FFF3441"/>
    <w:rsid w:val="AEA7A4FD"/>
    <w:rsid w:val="AFBBC7B5"/>
    <w:rsid w:val="AFFEB3F4"/>
    <w:rsid w:val="B0FFF6A1"/>
    <w:rsid w:val="B5ED395D"/>
    <w:rsid w:val="B6FA4957"/>
    <w:rsid w:val="B8FDCBB8"/>
    <w:rsid w:val="BF71E783"/>
    <w:rsid w:val="D7E6EC37"/>
    <w:rsid w:val="D8FF2426"/>
    <w:rsid w:val="DADE1E12"/>
    <w:rsid w:val="DB5D8903"/>
    <w:rsid w:val="DBD7E578"/>
    <w:rsid w:val="DCF9CDA3"/>
    <w:rsid w:val="DFD326F0"/>
    <w:rsid w:val="DFDF0EEC"/>
    <w:rsid w:val="DFEBC940"/>
    <w:rsid w:val="DFF97085"/>
    <w:rsid w:val="E36D1B87"/>
    <w:rsid w:val="E5971AD8"/>
    <w:rsid w:val="E7F7372C"/>
    <w:rsid w:val="E9BA9A25"/>
    <w:rsid w:val="E9C75EA7"/>
    <w:rsid w:val="E9F5CA89"/>
    <w:rsid w:val="EAFC1507"/>
    <w:rsid w:val="EBBB2037"/>
    <w:rsid w:val="EDDD0C74"/>
    <w:rsid w:val="EFDF8A0B"/>
    <w:rsid w:val="F0EF8BA3"/>
    <w:rsid w:val="F5DF55CA"/>
    <w:rsid w:val="F5FC6A65"/>
    <w:rsid w:val="F7B4E17D"/>
    <w:rsid w:val="F7D7F300"/>
    <w:rsid w:val="F7DFC983"/>
    <w:rsid w:val="FAEDA5A2"/>
    <w:rsid w:val="FB6FB1A7"/>
    <w:rsid w:val="FB7FCDEB"/>
    <w:rsid w:val="FBED02E8"/>
    <w:rsid w:val="FCDF414C"/>
    <w:rsid w:val="FE75939C"/>
    <w:rsid w:val="FE961DD5"/>
    <w:rsid w:val="FEF5DFB6"/>
    <w:rsid w:val="FEFEF390"/>
    <w:rsid w:val="FF6EE6DE"/>
    <w:rsid w:val="FF83852A"/>
    <w:rsid w:val="FFB65C3E"/>
    <w:rsid w:val="FFDFFE73"/>
    <w:rsid w:val="FFE58F2A"/>
    <w:rsid w:val="FFEB7B14"/>
    <w:rsid w:val="FFF7D057"/>
    <w:rsid w:val="FFFBE0FF"/>
    <w:rsid w:val="FFFF84A5"/>
    <w:rsid w:val="FFFF9BB1"/>
    <w:rsid w:val="FFFFDE5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6430</Words>
  <Characters>7108</Characters>
  <Lines>41</Lines>
  <Paragraphs>11</Paragraphs>
  <TotalTime>56</TotalTime>
  <ScaleCrop>false</ScaleCrop>
  <LinksUpToDate>false</LinksUpToDate>
  <CharactersWithSpaces>7182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2021-10-13T02:02:00Z</dcterms:created>
  <dc:creator>Administrator</dc:creator>
  <cp:lastModifiedBy>sjyzx</cp:lastModifiedBy>
  <cp:lastPrinted>2023-05-11T02:15:00Z</cp:lastPrinted>
  <dcterms:modified xsi:type="dcterms:W3CDTF">2023-05-11T02:55:51Z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E73BB067A19A4B488EEC77C1C407C66E_13</vt:lpwstr>
  </property>
</Properties>
</file>