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ind w:left="0"/>
        <w:jc w:val="center"/>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乌海市公共资源交易中心</w:t>
      </w:r>
    </w:p>
    <w:p>
      <w:pPr>
        <w:spacing w:line="560" w:lineRule="exact"/>
        <w:ind w:left="0"/>
        <w:jc w:val="center"/>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国有土地使用权挂牌出让公告</w:t>
      </w:r>
    </w:p>
    <w:p>
      <w:pPr>
        <w:jc w:val="center"/>
        <w:rPr>
          <w:rFonts w:ascii="仿宋" w:hAnsi="仿宋" w:eastAsia="仿宋"/>
          <w:bCs/>
          <w:color w:val="auto"/>
          <w:sz w:val="32"/>
          <w:szCs w:val="32"/>
          <w:highlight w:val="none"/>
        </w:rPr>
      </w:pPr>
      <w:r>
        <w:rPr>
          <w:rFonts w:hint="eastAsia" w:ascii="仿宋" w:hAnsi="仿宋" w:eastAsia="仿宋" w:cs="仿宋"/>
          <w:bCs/>
          <w:color w:val="auto"/>
          <w:sz w:val="32"/>
          <w:szCs w:val="32"/>
          <w:highlight w:val="none"/>
        </w:rPr>
        <w:t>乌资交挂字〔</w:t>
      </w:r>
      <w:r>
        <w:rPr>
          <w:rFonts w:ascii="仿宋" w:hAnsi="仿宋" w:eastAsia="仿宋" w:cs="仿宋"/>
          <w:bCs/>
          <w:color w:val="auto"/>
          <w:sz w:val="32"/>
          <w:szCs w:val="32"/>
          <w:highlight w:val="none"/>
        </w:rPr>
        <w:t>202</w:t>
      </w:r>
      <w:r>
        <w:rPr>
          <w:rFonts w:hint="eastAsia" w:ascii="仿宋" w:hAnsi="仿宋" w:eastAsia="仿宋" w:cs="仿宋"/>
          <w:bCs/>
          <w:color w:val="auto"/>
          <w:sz w:val="32"/>
          <w:szCs w:val="32"/>
          <w:highlight w:val="none"/>
          <w:lang w:val="en-US" w:eastAsia="zh-CN"/>
        </w:rPr>
        <w:t>2</w:t>
      </w: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highlight w:val="none"/>
          <w:lang w:val="en-US" w:eastAsia="zh-CN"/>
        </w:rPr>
        <w:t>22</w:t>
      </w:r>
      <w:r>
        <w:rPr>
          <w:rFonts w:hint="eastAsia" w:ascii="仿宋" w:hAnsi="仿宋" w:eastAsia="仿宋" w:cs="仿宋"/>
          <w:bCs/>
          <w:color w:val="auto"/>
          <w:sz w:val="32"/>
          <w:szCs w:val="32"/>
          <w:highlight w:val="none"/>
        </w:rPr>
        <w:t>号</w:t>
      </w:r>
    </w:p>
    <w:p>
      <w:pPr>
        <w:spacing w:line="560" w:lineRule="exact"/>
        <w:ind w:left="0" w:firstLine="643" w:firstLineChars="200"/>
        <w:jc w:val="center"/>
        <w:rPr>
          <w:rFonts w:asciiTheme="minorEastAsia" w:hAnsiTheme="minorEastAsia" w:eastAsiaTheme="minorEastAsia"/>
          <w:b/>
          <w:bCs/>
          <w:color w:val="auto"/>
          <w:sz w:val="32"/>
          <w:szCs w:val="32"/>
        </w:rPr>
      </w:pPr>
    </w:p>
    <w:p>
      <w:pPr>
        <w:spacing w:line="560" w:lineRule="exact"/>
        <w:ind w:left="0" w:firstLine="640" w:firstLineChars="200"/>
        <w:textAlignment w:val="baseline"/>
        <w:rPr>
          <w:rFonts w:ascii="仿宋" w:hAnsi="仿宋" w:eastAsia="仿宋"/>
          <w:color w:val="auto"/>
          <w:sz w:val="32"/>
          <w:szCs w:val="32"/>
        </w:rPr>
      </w:pPr>
      <w:r>
        <w:rPr>
          <w:rFonts w:hint="eastAsia" w:ascii="仿宋" w:hAnsi="仿宋" w:eastAsia="仿宋" w:cs="FangSong_GB2312"/>
          <w:color w:val="auto"/>
          <w:sz w:val="32"/>
          <w:szCs w:val="32"/>
        </w:rPr>
        <w:t>经乌海市</w:t>
      </w:r>
      <w:r>
        <w:rPr>
          <w:rFonts w:hint="eastAsia" w:ascii="仿宋" w:hAnsi="仿宋" w:eastAsia="仿宋" w:cs="FangSong_GB2312"/>
          <w:color w:val="auto"/>
          <w:sz w:val="32"/>
          <w:szCs w:val="32"/>
          <w:lang w:eastAsia="zh-CN"/>
        </w:rPr>
        <w:t>海勃湾</w:t>
      </w:r>
      <w:r>
        <w:rPr>
          <w:rFonts w:hint="eastAsia" w:ascii="仿宋" w:hAnsi="仿宋" w:eastAsia="仿宋" w:cs="FangSong_GB2312"/>
          <w:color w:val="auto"/>
          <w:sz w:val="32"/>
          <w:szCs w:val="32"/>
        </w:rPr>
        <w:t>区人民政府批准，乌海市自然资源局海勃湾分局以挂牌方式出让</w:t>
      </w:r>
      <w:r>
        <w:rPr>
          <w:rFonts w:hint="eastAsia" w:ascii="仿宋" w:hAnsi="仿宋" w:eastAsia="仿宋" w:cs="FangSong_GB2312"/>
          <w:color w:val="auto"/>
          <w:sz w:val="32"/>
          <w:szCs w:val="32"/>
          <w:lang w:val="en-US" w:eastAsia="zh-CN"/>
        </w:rPr>
        <w:t>5</w:t>
      </w:r>
      <w:r>
        <w:rPr>
          <w:rFonts w:hint="eastAsia" w:ascii="仿宋" w:hAnsi="仿宋" w:eastAsia="仿宋" w:cs="FangSong_GB2312"/>
          <w:color w:val="auto"/>
          <w:sz w:val="32"/>
          <w:szCs w:val="32"/>
        </w:rPr>
        <w:t>宗地块的国有建设用地使用权，现将有关事项公告如下：</w:t>
      </w:r>
    </w:p>
    <w:p>
      <w:pPr>
        <w:numPr>
          <w:ilvl w:val="0"/>
          <w:numId w:val="1"/>
        </w:numPr>
        <w:spacing w:line="560" w:lineRule="exact"/>
        <w:ind w:left="0" w:firstLine="640" w:firstLineChars="200"/>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宗地基本情况和规划要求：</w:t>
      </w:r>
    </w:p>
    <w:tbl>
      <w:tblPr>
        <w:tblStyle w:val="15"/>
        <w:tblW w:w="1170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8"/>
        <w:gridCol w:w="887"/>
        <w:gridCol w:w="1322"/>
        <w:gridCol w:w="840"/>
        <w:gridCol w:w="827"/>
        <w:gridCol w:w="709"/>
        <w:gridCol w:w="740"/>
        <w:gridCol w:w="1018"/>
        <w:gridCol w:w="585"/>
        <w:gridCol w:w="765"/>
        <w:gridCol w:w="765"/>
        <w:gridCol w:w="1035"/>
        <w:gridCol w:w="1063"/>
        <w:gridCol w:w="8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exact"/>
          <w:jc w:val="center"/>
        </w:trPr>
        <w:tc>
          <w:tcPr>
            <w:tcW w:w="268" w:type="dxa"/>
            <w:vMerge w:val="restart"/>
            <w:vAlign w:val="center"/>
          </w:tcPr>
          <w:p>
            <w:pPr>
              <w:pStyle w:val="30"/>
              <w:spacing w:line="28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序号</w:t>
            </w:r>
          </w:p>
        </w:tc>
        <w:tc>
          <w:tcPr>
            <w:tcW w:w="887" w:type="dxa"/>
            <w:vMerge w:val="restart"/>
            <w:vAlign w:val="center"/>
          </w:tcPr>
          <w:p>
            <w:pPr>
              <w:pStyle w:val="30"/>
              <w:spacing w:line="28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编号</w:t>
            </w:r>
          </w:p>
        </w:tc>
        <w:tc>
          <w:tcPr>
            <w:tcW w:w="1322" w:type="dxa"/>
            <w:vMerge w:val="restart"/>
            <w:vAlign w:val="center"/>
          </w:tcPr>
          <w:p>
            <w:pPr>
              <w:spacing w:line="300" w:lineRule="exact"/>
              <w:ind w:left="0" w:firstLine="0"/>
              <w:jc w:val="center"/>
              <w:rPr>
                <w:rFonts w:hint="eastAsia" w:ascii="仿宋" w:hAnsi="仿宋" w:eastAsia="仿宋"/>
                <w:color w:val="auto"/>
                <w:sz w:val="18"/>
                <w:szCs w:val="18"/>
              </w:rPr>
            </w:pPr>
            <w:r>
              <w:rPr>
                <w:rFonts w:hint="eastAsia" w:ascii="仿宋" w:hAnsi="仿宋" w:eastAsia="仿宋"/>
                <w:color w:val="auto"/>
                <w:sz w:val="18"/>
                <w:szCs w:val="18"/>
              </w:rPr>
              <w:t>土地位置</w:t>
            </w:r>
          </w:p>
        </w:tc>
        <w:tc>
          <w:tcPr>
            <w:tcW w:w="840" w:type="dxa"/>
            <w:vMerge w:val="restart"/>
            <w:vAlign w:val="center"/>
          </w:tcPr>
          <w:p>
            <w:pPr>
              <w:spacing w:line="280" w:lineRule="exact"/>
              <w:ind w:left="0" w:firstLine="0"/>
              <w:jc w:val="center"/>
              <w:rPr>
                <w:rFonts w:ascii="仿宋" w:hAnsi="仿宋" w:eastAsia="仿宋"/>
                <w:b/>
                <w:bCs/>
                <w:color w:val="auto"/>
                <w:sz w:val="18"/>
                <w:szCs w:val="18"/>
              </w:rPr>
            </w:pPr>
            <w:r>
              <w:rPr>
                <w:rFonts w:hint="eastAsia" w:ascii="仿宋" w:hAnsi="仿宋" w:eastAsia="仿宋" w:cs="FangSong_GB2312falt"/>
                <w:b/>
                <w:bCs/>
                <w:color w:val="auto"/>
                <w:sz w:val="18"/>
                <w:szCs w:val="18"/>
              </w:rPr>
              <w:t>土地面积</w:t>
            </w:r>
            <w:r>
              <w:rPr>
                <w:rFonts w:ascii="仿宋" w:hAnsi="仿宋" w:eastAsia="仿宋" w:cs="FangSong_GB2312falt"/>
                <w:b/>
                <w:bCs/>
                <w:color w:val="auto"/>
                <w:sz w:val="18"/>
                <w:szCs w:val="18"/>
              </w:rPr>
              <w:t>(m</w:t>
            </w:r>
            <w:r>
              <w:rPr>
                <w:rFonts w:ascii="仿宋" w:hAnsi="仿宋" w:eastAsia="仿宋" w:cs="FangSong_GB2312falt"/>
                <w:b/>
                <w:bCs/>
                <w:color w:val="auto"/>
                <w:sz w:val="18"/>
                <w:szCs w:val="18"/>
                <w:vertAlign w:val="superscript"/>
              </w:rPr>
              <w:t>2</w:t>
            </w:r>
            <w:r>
              <w:rPr>
                <w:rFonts w:hint="eastAsia" w:ascii="仿宋" w:hAnsi="仿宋" w:eastAsia="仿宋" w:cs="FangSong_GB2312falt"/>
                <w:b/>
                <w:bCs/>
                <w:color w:val="auto"/>
                <w:sz w:val="18"/>
                <w:szCs w:val="18"/>
              </w:rPr>
              <w:t>）</w:t>
            </w:r>
          </w:p>
        </w:tc>
        <w:tc>
          <w:tcPr>
            <w:tcW w:w="827" w:type="dxa"/>
            <w:vMerge w:val="restart"/>
            <w:vAlign w:val="center"/>
          </w:tcPr>
          <w:p>
            <w:pPr>
              <w:spacing w:line="280" w:lineRule="exact"/>
              <w:ind w:left="0" w:firstLine="0"/>
              <w:jc w:val="center"/>
              <w:rPr>
                <w:rFonts w:hint="eastAsia" w:ascii="仿宋" w:hAnsi="仿宋" w:eastAsia="仿宋" w:cs="FangSong_GB2312falt"/>
                <w:b/>
                <w:bCs/>
                <w:color w:val="auto"/>
                <w:sz w:val="18"/>
                <w:szCs w:val="18"/>
                <w:lang w:val="en-US" w:eastAsia="zh-CN"/>
              </w:rPr>
            </w:pPr>
            <w:r>
              <w:rPr>
                <w:rFonts w:hint="eastAsia" w:ascii="仿宋" w:hAnsi="仿宋" w:eastAsia="仿宋" w:cs="FangSong_GB2312falt"/>
                <w:b/>
                <w:bCs/>
                <w:color w:val="auto"/>
                <w:sz w:val="18"/>
                <w:szCs w:val="18"/>
                <w:lang w:val="en-US" w:eastAsia="zh-CN"/>
              </w:rPr>
              <w:t>土地</w:t>
            </w:r>
          </w:p>
          <w:p>
            <w:pPr>
              <w:spacing w:line="280" w:lineRule="exact"/>
              <w:ind w:left="0" w:firstLine="0"/>
              <w:jc w:val="center"/>
              <w:rPr>
                <w:rFonts w:hint="eastAsia" w:ascii="仿宋" w:hAnsi="仿宋" w:eastAsia="仿宋"/>
                <w:color w:val="auto"/>
                <w:sz w:val="18"/>
                <w:szCs w:val="18"/>
                <w:lang w:val="en-US" w:eastAsia="zh-CN"/>
              </w:rPr>
            </w:pPr>
            <w:r>
              <w:rPr>
                <w:rFonts w:hint="eastAsia" w:ascii="仿宋" w:hAnsi="仿宋" w:eastAsia="仿宋" w:cs="FangSong_GB2312falt"/>
                <w:b/>
                <w:bCs/>
                <w:color w:val="auto"/>
                <w:sz w:val="18"/>
                <w:szCs w:val="18"/>
                <w:lang w:val="en-US" w:eastAsia="zh-CN"/>
              </w:rPr>
              <w:t>用途</w:t>
            </w:r>
          </w:p>
        </w:tc>
        <w:tc>
          <w:tcPr>
            <w:tcW w:w="3052" w:type="dxa"/>
            <w:gridSpan w:val="4"/>
            <w:tcBorders>
              <w:right w:val="single" w:color="auto" w:sz="4" w:space="0"/>
            </w:tcBorders>
          </w:tcPr>
          <w:p>
            <w:pPr>
              <w:pStyle w:val="30"/>
              <w:spacing w:line="240" w:lineRule="exact"/>
              <w:jc w:val="center"/>
              <w:textAlignment w:val="center"/>
              <w:rPr>
                <w:rFonts w:hint="eastAsia" w:ascii="仿宋" w:hAnsi="仿宋" w:eastAsia="仿宋" w:cs="FangSong_GB2312falt"/>
                <w:b/>
                <w:bCs/>
                <w:color w:val="auto"/>
                <w:sz w:val="18"/>
                <w:szCs w:val="18"/>
              </w:rPr>
            </w:pPr>
            <w:r>
              <w:rPr>
                <w:rFonts w:hint="eastAsia" w:ascii="仿宋" w:hAnsi="仿宋" w:eastAsia="仿宋" w:cs="FangSong_GB2312falt"/>
                <w:b/>
                <w:bCs/>
                <w:color w:val="auto"/>
                <w:sz w:val="18"/>
                <w:szCs w:val="18"/>
              </w:rPr>
              <w:t>规划指标要求</w:t>
            </w:r>
          </w:p>
        </w:tc>
        <w:tc>
          <w:tcPr>
            <w:tcW w:w="765" w:type="dxa"/>
            <w:tcBorders>
              <w:left w:val="single" w:color="auto" w:sz="4" w:space="0"/>
              <w:right w:val="single" w:color="auto" w:sz="4" w:space="0"/>
            </w:tcBorders>
            <w:vAlign w:val="center"/>
          </w:tcPr>
          <w:p>
            <w:pPr>
              <w:pStyle w:val="30"/>
              <w:spacing w:line="240" w:lineRule="exact"/>
              <w:jc w:val="center"/>
              <w:textAlignment w:val="center"/>
              <w:rPr>
                <w:rFonts w:hint="eastAsia" w:ascii="仿宋" w:hAnsi="仿宋" w:eastAsia="仿宋" w:cs="FangSong_GB2312falt"/>
                <w:b/>
                <w:bCs/>
                <w:color w:val="auto"/>
                <w:sz w:val="18"/>
                <w:szCs w:val="18"/>
              </w:rPr>
            </w:pPr>
          </w:p>
        </w:tc>
        <w:tc>
          <w:tcPr>
            <w:tcW w:w="765" w:type="dxa"/>
            <w:vMerge w:val="restart"/>
            <w:tcBorders>
              <w:left w:val="single" w:color="auto" w:sz="4" w:space="0"/>
              <w:right w:val="single" w:color="auto" w:sz="4" w:space="0"/>
            </w:tcBorders>
            <w:vAlign w:val="center"/>
          </w:tcPr>
          <w:p>
            <w:pPr>
              <w:pStyle w:val="30"/>
              <w:spacing w:line="24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出让</w:t>
            </w:r>
          </w:p>
          <w:p>
            <w:pPr>
              <w:pStyle w:val="30"/>
              <w:spacing w:line="24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年限（年）</w:t>
            </w:r>
          </w:p>
        </w:tc>
        <w:tc>
          <w:tcPr>
            <w:tcW w:w="1035" w:type="dxa"/>
            <w:vMerge w:val="restart"/>
            <w:tcBorders>
              <w:left w:val="single" w:color="auto" w:sz="4" w:space="0"/>
              <w:right w:val="single" w:color="auto" w:sz="4" w:space="0"/>
            </w:tcBorders>
            <w:vAlign w:val="center"/>
          </w:tcPr>
          <w:p>
            <w:pPr>
              <w:pStyle w:val="30"/>
              <w:spacing w:line="28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起挂价</w:t>
            </w:r>
          </w:p>
          <w:p>
            <w:pPr>
              <w:spacing w:line="280" w:lineRule="exact"/>
              <w:ind w:left="0" w:firstLine="0"/>
              <w:jc w:val="center"/>
              <w:rPr>
                <w:rFonts w:ascii="仿宋" w:hAnsi="仿宋" w:eastAsia="仿宋"/>
                <w:b/>
                <w:bCs/>
                <w:color w:val="auto"/>
                <w:sz w:val="18"/>
                <w:szCs w:val="18"/>
              </w:rPr>
            </w:pPr>
            <w:r>
              <w:rPr>
                <w:rFonts w:ascii="仿宋" w:hAnsi="仿宋" w:eastAsia="仿宋" w:cs="FangSong_GB2312falt"/>
                <w:b/>
                <w:bCs/>
                <w:color w:val="auto"/>
                <w:sz w:val="18"/>
                <w:szCs w:val="18"/>
              </w:rPr>
              <w:t>(</w:t>
            </w:r>
            <w:r>
              <w:rPr>
                <w:rFonts w:hint="eastAsia" w:ascii="仿宋" w:hAnsi="仿宋" w:eastAsia="仿宋" w:cs="FangSong_GB2312falt"/>
                <w:b/>
                <w:bCs/>
                <w:color w:val="auto"/>
                <w:sz w:val="18"/>
                <w:szCs w:val="18"/>
              </w:rPr>
              <w:t>万元</w:t>
            </w:r>
            <w:r>
              <w:rPr>
                <w:rFonts w:ascii="仿宋" w:hAnsi="仿宋" w:eastAsia="仿宋" w:cs="FangSong_GB2312falt"/>
                <w:b/>
                <w:bCs/>
                <w:color w:val="auto"/>
                <w:sz w:val="18"/>
                <w:szCs w:val="18"/>
              </w:rPr>
              <w:t>)</w:t>
            </w:r>
          </w:p>
        </w:tc>
        <w:tc>
          <w:tcPr>
            <w:tcW w:w="1063" w:type="dxa"/>
            <w:vMerge w:val="restart"/>
            <w:tcBorders>
              <w:left w:val="single" w:color="auto" w:sz="4" w:space="0"/>
              <w:right w:val="single" w:color="auto" w:sz="4" w:space="0"/>
            </w:tcBorders>
            <w:vAlign w:val="center"/>
          </w:tcPr>
          <w:p>
            <w:pPr>
              <w:pStyle w:val="30"/>
              <w:spacing w:line="28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保证金</w:t>
            </w:r>
          </w:p>
          <w:p>
            <w:pPr>
              <w:spacing w:line="280" w:lineRule="exact"/>
              <w:ind w:left="0" w:firstLine="0"/>
              <w:jc w:val="center"/>
              <w:rPr>
                <w:rFonts w:ascii="仿宋" w:hAnsi="仿宋" w:eastAsia="仿宋"/>
                <w:b/>
                <w:bCs/>
                <w:color w:val="auto"/>
                <w:sz w:val="18"/>
                <w:szCs w:val="18"/>
              </w:rPr>
            </w:pPr>
            <w:r>
              <w:rPr>
                <w:rFonts w:ascii="仿宋" w:hAnsi="仿宋" w:eastAsia="仿宋" w:cs="FangSong_GB2312falt"/>
                <w:b/>
                <w:bCs/>
                <w:color w:val="auto"/>
                <w:sz w:val="18"/>
                <w:szCs w:val="18"/>
              </w:rPr>
              <w:t>(</w:t>
            </w:r>
            <w:r>
              <w:rPr>
                <w:rFonts w:hint="eastAsia" w:ascii="仿宋" w:hAnsi="仿宋" w:eastAsia="仿宋" w:cs="FangSong_GB2312falt"/>
                <w:b/>
                <w:bCs/>
                <w:color w:val="auto"/>
                <w:sz w:val="18"/>
                <w:szCs w:val="18"/>
              </w:rPr>
              <w:t>万元</w:t>
            </w:r>
            <w:r>
              <w:rPr>
                <w:rFonts w:ascii="仿宋" w:hAnsi="仿宋" w:eastAsia="仿宋" w:cs="FangSong_GB2312falt"/>
                <w:b/>
                <w:bCs/>
                <w:color w:val="auto"/>
                <w:sz w:val="18"/>
                <w:szCs w:val="18"/>
              </w:rPr>
              <w:t>)</w:t>
            </w:r>
          </w:p>
        </w:tc>
        <w:tc>
          <w:tcPr>
            <w:tcW w:w="879" w:type="dxa"/>
            <w:vMerge w:val="restart"/>
            <w:tcBorders>
              <w:left w:val="single" w:color="auto" w:sz="4" w:space="0"/>
              <w:right w:val="single" w:color="auto" w:sz="4" w:space="0"/>
            </w:tcBorders>
            <w:vAlign w:val="center"/>
          </w:tcPr>
          <w:p>
            <w:pPr>
              <w:spacing w:line="280" w:lineRule="exact"/>
              <w:ind w:left="0" w:firstLine="0"/>
              <w:jc w:val="center"/>
              <w:rPr>
                <w:rFonts w:ascii="仿宋" w:hAnsi="仿宋" w:eastAsia="仿宋"/>
                <w:b/>
                <w:bCs/>
                <w:color w:val="auto"/>
                <w:sz w:val="18"/>
                <w:szCs w:val="18"/>
              </w:rPr>
            </w:pPr>
            <w:r>
              <w:rPr>
                <w:rFonts w:hint="eastAsia" w:ascii="仿宋" w:hAnsi="仿宋" w:eastAsia="仿宋" w:cs="FangSong_GB2312falt"/>
                <w:b/>
                <w:bCs/>
                <w:color w:val="auto"/>
                <w:sz w:val="18"/>
                <w:szCs w:val="18"/>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exact"/>
          <w:jc w:val="center"/>
        </w:trPr>
        <w:tc>
          <w:tcPr>
            <w:tcW w:w="268" w:type="dxa"/>
            <w:vMerge w:val="continue"/>
            <w:vAlign w:val="center"/>
          </w:tcPr>
          <w:p>
            <w:pPr>
              <w:spacing w:line="280" w:lineRule="exact"/>
              <w:ind w:left="0" w:firstLine="0"/>
              <w:jc w:val="center"/>
              <w:rPr>
                <w:rFonts w:ascii="仿宋" w:hAnsi="仿宋" w:eastAsia="仿宋"/>
                <w:color w:val="auto"/>
                <w:sz w:val="18"/>
                <w:szCs w:val="18"/>
              </w:rPr>
            </w:pPr>
          </w:p>
        </w:tc>
        <w:tc>
          <w:tcPr>
            <w:tcW w:w="887" w:type="dxa"/>
            <w:vMerge w:val="continue"/>
            <w:vAlign w:val="center"/>
          </w:tcPr>
          <w:p>
            <w:pPr>
              <w:spacing w:line="280" w:lineRule="exact"/>
              <w:ind w:left="0" w:firstLine="0"/>
              <w:jc w:val="center"/>
              <w:rPr>
                <w:rFonts w:ascii="仿宋" w:hAnsi="仿宋" w:eastAsia="仿宋"/>
                <w:color w:val="auto"/>
                <w:sz w:val="18"/>
                <w:szCs w:val="18"/>
              </w:rPr>
            </w:pPr>
          </w:p>
        </w:tc>
        <w:tc>
          <w:tcPr>
            <w:tcW w:w="1322" w:type="dxa"/>
            <w:vMerge w:val="continue"/>
            <w:vAlign w:val="center"/>
          </w:tcPr>
          <w:p>
            <w:pPr>
              <w:spacing w:line="300" w:lineRule="exact"/>
              <w:ind w:left="0" w:firstLine="0"/>
              <w:jc w:val="center"/>
              <w:rPr>
                <w:rFonts w:hint="eastAsia" w:ascii="仿宋" w:hAnsi="仿宋" w:eastAsia="仿宋"/>
                <w:color w:val="auto"/>
                <w:sz w:val="18"/>
                <w:szCs w:val="18"/>
              </w:rPr>
            </w:pPr>
          </w:p>
        </w:tc>
        <w:tc>
          <w:tcPr>
            <w:tcW w:w="840" w:type="dxa"/>
            <w:vMerge w:val="continue"/>
            <w:vAlign w:val="center"/>
          </w:tcPr>
          <w:p>
            <w:pPr>
              <w:spacing w:line="280" w:lineRule="exact"/>
              <w:ind w:left="0" w:firstLine="0"/>
              <w:jc w:val="center"/>
              <w:rPr>
                <w:rFonts w:ascii="仿宋" w:hAnsi="仿宋" w:eastAsia="仿宋"/>
                <w:b/>
                <w:bCs/>
                <w:color w:val="auto"/>
                <w:sz w:val="18"/>
                <w:szCs w:val="18"/>
              </w:rPr>
            </w:pPr>
          </w:p>
        </w:tc>
        <w:tc>
          <w:tcPr>
            <w:tcW w:w="827" w:type="dxa"/>
            <w:vMerge w:val="continue"/>
            <w:vAlign w:val="center"/>
          </w:tcPr>
          <w:p>
            <w:pPr>
              <w:spacing w:line="300" w:lineRule="exact"/>
              <w:ind w:left="0" w:firstLine="0"/>
              <w:jc w:val="center"/>
              <w:rPr>
                <w:rFonts w:hint="eastAsia" w:ascii="仿宋" w:hAnsi="仿宋" w:eastAsia="仿宋"/>
                <w:color w:val="auto"/>
                <w:sz w:val="18"/>
                <w:szCs w:val="18"/>
                <w:lang w:val="en-US" w:eastAsia="zh-CN"/>
              </w:rPr>
            </w:pPr>
          </w:p>
        </w:tc>
        <w:tc>
          <w:tcPr>
            <w:tcW w:w="709" w:type="dxa"/>
            <w:vAlign w:val="center"/>
          </w:tcPr>
          <w:p>
            <w:pPr>
              <w:spacing w:line="240" w:lineRule="exact"/>
              <w:ind w:left="0" w:firstLine="0"/>
              <w:jc w:val="center"/>
              <w:rPr>
                <w:rFonts w:ascii="仿宋" w:hAnsi="仿宋" w:eastAsia="仿宋"/>
                <w:b/>
                <w:bCs/>
                <w:color w:val="auto"/>
                <w:sz w:val="18"/>
                <w:szCs w:val="18"/>
              </w:rPr>
            </w:pPr>
            <w:r>
              <w:rPr>
                <w:rFonts w:hint="eastAsia" w:ascii="仿宋" w:hAnsi="仿宋" w:eastAsia="仿宋" w:cs="FangSong_GB2312falt"/>
                <w:b/>
                <w:bCs/>
                <w:color w:val="auto"/>
                <w:sz w:val="18"/>
                <w:szCs w:val="18"/>
              </w:rPr>
              <w:t>容积率</w:t>
            </w:r>
          </w:p>
        </w:tc>
        <w:tc>
          <w:tcPr>
            <w:tcW w:w="740" w:type="dxa"/>
            <w:vAlign w:val="center"/>
          </w:tcPr>
          <w:p>
            <w:pPr>
              <w:pStyle w:val="30"/>
              <w:spacing w:line="240" w:lineRule="exact"/>
              <w:jc w:val="center"/>
              <w:textAlignment w:val="center"/>
              <w:rPr>
                <w:rFonts w:ascii="仿宋" w:hAnsi="仿宋" w:eastAsia="仿宋" w:cs="FangSong_GB2312falt"/>
                <w:b/>
                <w:bCs/>
                <w:color w:val="auto"/>
                <w:sz w:val="18"/>
                <w:szCs w:val="18"/>
              </w:rPr>
            </w:pPr>
            <w:r>
              <w:rPr>
                <w:rFonts w:hint="eastAsia" w:ascii="仿宋" w:hAnsi="仿宋" w:eastAsia="仿宋"/>
                <w:b/>
                <w:color w:val="auto"/>
                <w:sz w:val="18"/>
                <w:szCs w:val="18"/>
              </w:rPr>
              <w:t>建筑限高</w:t>
            </w:r>
          </w:p>
        </w:tc>
        <w:tc>
          <w:tcPr>
            <w:tcW w:w="1018" w:type="dxa"/>
            <w:vAlign w:val="center"/>
          </w:tcPr>
          <w:p>
            <w:pPr>
              <w:pStyle w:val="30"/>
              <w:spacing w:line="240" w:lineRule="exact"/>
              <w:jc w:val="center"/>
              <w:textAlignment w:val="center"/>
              <w:rPr>
                <w:rFonts w:hint="eastAsia" w:ascii="仿宋" w:hAnsi="仿宋" w:eastAsia="仿宋" w:cs="FangSong_GB2312falt"/>
                <w:b/>
                <w:bCs/>
                <w:color w:val="auto"/>
                <w:sz w:val="18"/>
                <w:szCs w:val="18"/>
                <w:lang w:val="en-US" w:eastAsia="zh-CN"/>
              </w:rPr>
            </w:pPr>
            <w:r>
              <w:rPr>
                <w:rFonts w:hint="eastAsia" w:ascii="仿宋" w:hAnsi="仿宋" w:eastAsia="仿宋" w:cs="FangSong_GB2312falt"/>
                <w:b/>
                <w:bCs/>
                <w:color w:val="auto"/>
                <w:sz w:val="18"/>
                <w:szCs w:val="18"/>
              </w:rPr>
              <w:t>建筑</w:t>
            </w:r>
            <w:r>
              <w:rPr>
                <w:rFonts w:hint="eastAsia" w:ascii="仿宋" w:hAnsi="仿宋" w:eastAsia="仿宋" w:cs="FangSong_GB2312falt"/>
                <w:b/>
                <w:bCs/>
                <w:color w:val="auto"/>
                <w:sz w:val="18"/>
                <w:szCs w:val="18"/>
                <w:lang w:eastAsia="zh-CN"/>
              </w:rPr>
              <w:t>系数</w:t>
            </w:r>
          </w:p>
        </w:tc>
        <w:tc>
          <w:tcPr>
            <w:tcW w:w="585" w:type="dxa"/>
            <w:tcBorders>
              <w:right w:val="single" w:color="auto" w:sz="4" w:space="0"/>
            </w:tcBorders>
            <w:vAlign w:val="center"/>
          </w:tcPr>
          <w:p>
            <w:pPr>
              <w:pStyle w:val="30"/>
              <w:spacing w:line="240" w:lineRule="exact"/>
              <w:jc w:val="center"/>
              <w:textAlignment w:val="center"/>
              <w:rPr>
                <w:rFonts w:hint="eastAsia" w:ascii="仿宋" w:hAnsi="仿宋" w:eastAsia="仿宋" w:cs="FangSong_GB2312falt"/>
                <w:b/>
                <w:bCs/>
                <w:color w:val="auto"/>
                <w:sz w:val="18"/>
                <w:szCs w:val="18"/>
                <w:lang w:val="en-US" w:eastAsia="zh-CN"/>
              </w:rPr>
            </w:pPr>
            <w:r>
              <w:rPr>
                <w:rFonts w:hint="eastAsia" w:ascii="仿宋" w:hAnsi="仿宋" w:eastAsia="仿宋" w:cs="FangSong_GB2312falt"/>
                <w:b/>
                <w:bCs/>
                <w:color w:val="auto"/>
                <w:sz w:val="18"/>
                <w:szCs w:val="18"/>
              </w:rPr>
              <w:t>绿地率</w:t>
            </w:r>
          </w:p>
        </w:tc>
        <w:tc>
          <w:tcPr>
            <w:tcW w:w="765" w:type="dxa"/>
            <w:tcBorders>
              <w:left w:val="single" w:color="auto" w:sz="4" w:space="0"/>
              <w:right w:val="single" w:color="auto" w:sz="4" w:space="0"/>
            </w:tcBorders>
            <w:vAlign w:val="center"/>
          </w:tcPr>
          <w:p>
            <w:pPr>
              <w:pStyle w:val="30"/>
              <w:spacing w:line="240" w:lineRule="exact"/>
              <w:jc w:val="center"/>
              <w:rPr>
                <w:rFonts w:hint="eastAsia" w:ascii="仿宋" w:hAnsi="仿宋" w:eastAsia="仿宋"/>
                <w:b/>
                <w:bCs/>
                <w:color w:val="auto"/>
                <w:sz w:val="18"/>
                <w:szCs w:val="18"/>
                <w:lang w:eastAsia="zh-CN"/>
              </w:rPr>
            </w:pPr>
            <w:r>
              <w:rPr>
                <w:rFonts w:hint="eastAsia" w:ascii="仿宋" w:hAnsi="仿宋" w:eastAsia="仿宋"/>
                <w:b/>
                <w:bCs/>
                <w:color w:val="auto"/>
                <w:sz w:val="18"/>
                <w:szCs w:val="18"/>
                <w:lang w:eastAsia="zh-CN"/>
              </w:rPr>
              <w:t>投资强度</w:t>
            </w:r>
          </w:p>
        </w:tc>
        <w:tc>
          <w:tcPr>
            <w:tcW w:w="765" w:type="dxa"/>
            <w:vMerge w:val="continue"/>
            <w:tcBorders>
              <w:left w:val="single" w:color="auto" w:sz="4" w:space="0"/>
              <w:right w:val="single" w:color="auto" w:sz="4" w:space="0"/>
            </w:tcBorders>
            <w:vAlign w:val="center"/>
          </w:tcPr>
          <w:p>
            <w:pPr>
              <w:pStyle w:val="30"/>
              <w:spacing w:line="240" w:lineRule="exact"/>
              <w:jc w:val="center"/>
              <w:rPr>
                <w:rFonts w:ascii="仿宋" w:hAnsi="仿宋" w:eastAsia="仿宋"/>
                <w:b/>
                <w:bCs/>
                <w:color w:val="auto"/>
                <w:sz w:val="18"/>
                <w:szCs w:val="18"/>
              </w:rPr>
            </w:pPr>
          </w:p>
        </w:tc>
        <w:tc>
          <w:tcPr>
            <w:tcW w:w="1035" w:type="dxa"/>
            <w:vMerge w:val="continue"/>
            <w:tcBorders>
              <w:left w:val="single" w:color="auto" w:sz="4" w:space="0"/>
              <w:right w:val="single" w:color="auto" w:sz="4" w:space="0"/>
            </w:tcBorders>
            <w:vAlign w:val="center"/>
          </w:tcPr>
          <w:p>
            <w:pPr>
              <w:spacing w:line="280" w:lineRule="exact"/>
              <w:ind w:left="0" w:firstLine="0"/>
              <w:jc w:val="center"/>
              <w:rPr>
                <w:rFonts w:ascii="仿宋" w:hAnsi="仿宋" w:eastAsia="仿宋"/>
                <w:color w:val="auto"/>
                <w:sz w:val="18"/>
                <w:szCs w:val="18"/>
              </w:rPr>
            </w:pPr>
          </w:p>
        </w:tc>
        <w:tc>
          <w:tcPr>
            <w:tcW w:w="1063" w:type="dxa"/>
            <w:vMerge w:val="continue"/>
            <w:tcBorders>
              <w:left w:val="single" w:color="auto" w:sz="4" w:space="0"/>
              <w:right w:val="single" w:color="auto" w:sz="4" w:space="0"/>
            </w:tcBorders>
            <w:vAlign w:val="center"/>
          </w:tcPr>
          <w:p>
            <w:pPr>
              <w:spacing w:line="280" w:lineRule="exact"/>
              <w:ind w:left="0" w:firstLine="0"/>
              <w:jc w:val="center"/>
              <w:rPr>
                <w:rFonts w:ascii="仿宋" w:hAnsi="仿宋" w:eastAsia="仿宋"/>
                <w:color w:val="auto"/>
                <w:sz w:val="18"/>
                <w:szCs w:val="18"/>
              </w:rPr>
            </w:pPr>
          </w:p>
        </w:tc>
        <w:tc>
          <w:tcPr>
            <w:tcW w:w="879" w:type="dxa"/>
            <w:vMerge w:val="continue"/>
            <w:tcBorders>
              <w:left w:val="single" w:color="auto" w:sz="4" w:space="0"/>
              <w:bottom w:val="single" w:color="auto" w:sz="4" w:space="0"/>
              <w:right w:val="single" w:color="auto" w:sz="4" w:space="0"/>
            </w:tcBorders>
            <w:vAlign w:val="center"/>
          </w:tcPr>
          <w:p>
            <w:pPr>
              <w:spacing w:line="280" w:lineRule="exact"/>
              <w:ind w:left="0" w:firstLine="0"/>
              <w:jc w:val="center"/>
              <w:rPr>
                <w:rFonts w:ascii="仿宋" w:hAnsi="仿宋" w:eastAsia="仿宋"/>
                <w:color w:val="auto"/>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7" w:hRule="atLeast"/>
          <w:jc w:val="center"/>
        </w:trPr>
        <w:tc>
          <w:tcPr>
            <w:tcW w:w="268" w:type="dxa"/>
            <w:vAlign w:val="center"/>
          </w:tcPr>
          <w:p>
            <w:pPr>
              <w:pStyle w:val="30"/>
              <w:rPr>
                <w:rFonts w:ascii="仿宋" w:hAnsi="仿宋" w:eastAsia="仿宋"/>
                <w:color w:val="auto"/>
              </w:rPr>
            </w:pPr>
            <w:r>
              <w:rPr>
                <w:rFonts w:ascii="仿宋" w:hAnsi="仿宋" w:eastAsia="仿宋"/>
                <w:color w:val="auto"/>
              </w:rPr>
              <w:t>1</w:t>
            </w:r>
          </w:p>
        </w:tc>
        <w:tc>
          <w:tcPr>
            <w:tcW w:w="887" w:type="dxa"/>
            <w:vAlign w:val="center"/>
          </w:tcPr>
          <w:p>
            <w:pPr>
              <w:spacing w:line="300" w:lineRule="exact"/>
              <w:ind w:left="0" w:firstLine="0"/>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rPr>
              <w:t>202</w:t>
            </w:r>
            <w:r>
              <w:rPr>
                <w:rFonts w:hint="eastAsia" w:ascii="仿宋_GB2312" w:hAnsi="宋体" w:eastAsia="仿宋_GB2312" w:cs="宋体"/>
                <w:color w:val="auto"/>
                <w:kern w:val="0"/>
                <w:szCs w:val="21"/>
                <w:lang w:val="en-US" w:eastAsia="zh-CN"/>
              </w:rPr>
              <w:t>2</w:t>
            </w:r>
            <w:r>
              <w:rPr>
                <w:rFonts w:hint="eastAsia" w:ascii="仿宋_GB2312" w:hAnsi="宋体" w:eastAsia="仿宋_GB2312" w:cs="宋体"/>
                <w:color w:val="auto"/>
                <w:kern w:val="0"/>
                <w:szCs w:val="21"/>
              </w:rPr>
              <w:t>GA</w:t>
            </w:r>
            <w:r>
              <w:rPr>
                <w:rFonts w:hint="eastAsia" w:ascii="仿宋_GB2312" w:hAnsi="宋体" w:eastAsia="仿宋_GB2312" w:cs="宋体"/>
                <w:color w:val="auto"/>
                <w:kern w:val="0"/>
                <w:szCs w:val="21"/>
                <w:lang w:val="en-US" w:eastAsia="zh-CN"/>
              </w:rPr>
              <w:t>-22-01</w:t>
            </w:r>
          </w:p>
        </w:tc>
        <w:tc>
          <w:tcPr>
            <w:tcW w:w="1322"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海勃湾小型加工园区（海勃湾区）</w:t>
            </w:r>
          </w:p>
        </w:tc>
        <w:tc>
          <w:tcPr>
            <w:tcW w:w="840"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18811.25平方米（约28.22亩）</w:t>
            </w:r>
          </w:p>
        </w:tc>
        <w:tc>
          <w:tcPr>
            <w:tcW w:w="827"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 xml:space="preserve">工业用地 </w:t>
            </w:r>
          </w:p>
        </w:tc>
        <w:tc>
          <w:tcPr>
            <w:tcW w:w="709" w:type="dxa"/>
            <w:vAlign w:val="center"/>
          </w:tcPr>
          <w:p>
            <w:pPr>
              <w:spacing w:line="300" w:lineRule="exact"/>
              <w:ind w:left="0" w:firstLine="0"/>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0.6≤容积率≤1.5</w:t>
            </w:r>
          </w:p>
        </w:tc>
        <w:tc>
          <w:tcPr>
            <w:tcW w:w="740"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≤24米</w:t>
            </w:r>
          </w:p>
        </w:tc>
        <w:tc>
          <w:tcPr>
            <w:tcW w:w="1018" w:type="dxa"/>
          </w:tcPr>
          <w:p>
            <w:pPr>
              <w:spacing w:line="300" w:lineRule="exact"/>
              <w:ind w:left="0" w:firstLine="0"/>
              <w:jc w:val="center"/>
              <w:rPr>
                <w:rFonts w:hint="eastAsia" w:ascii="仿宋_GB2312" w:hAnsi="宋体" w:eastAsia="仿宋_GB2312" w:cs="宋体"/>
                <w:color w:val="auto"/>
                <w:kern w:val="0"/>
                <w:szCs w:val="21"/>
                <w:lang w:val="en-US" w:eastAsia="zh-CN"/>
              </w:rPr>
            </w:pPr>
          </w:p>
          <w:p>
            <w:pPr>
              <w:spacing w:line="300" w:lineRule="exact"/>
              <w:ind w:left="0" w:firstLine="0"/>
              <w:jc w:val="center"/>
              <w:rPr>
                <w:rFonts w:hint="eastAsia" w:ascii="仿宋_GB2312" w:hAnsi="宋体" w:eastAsia="仿宋_GB2312" w:cs="宋体"/>
                <w:color w:val="auto"/>
                <w:kern w:val="0"/>
                <w:szCs w:val="21"/>
                <w:lang w:val="en-US" w:eastAsia="zh-CN"/>
              </w:rPr>
            </w:pPr>
          </w:p>
          <w:p>
            <w:pPr>
              <w:spacing w:line="300" w:lineRule="exact"/>
              <w:ind w:left="0" w:firstLine="0"/>
              <w:jc w:val="center"/>
              <w:rPr>
                <w:rFonts w:hint="eastAsia" w:ascii="仿宋_GB2312" w:hAnsi="宋体" w:eastAsia="仿宋_GB2312" w:cs="宋体"/>
                <w:color w:val="auto"/>
                <w:kern w:val="0"/>
                <w:szCs w:val="21"/>
                <w:lang w:val="en-US" w:eastAsia="zh-CN"/>
              </w:rPr>
            </w:pPr>
          </w:p>
          <w:p>
            <w:pPr>
              <w:spacing w:line="300" w:lineRule="exact"/>
              <w:ind w:left="0" w:firstLine="0"/>
              <w:jc w:val="center"/>
              <w:rPr>
                <w:rFonts w:hint="eastAsia" w:ascii="仿宋_GB2312" w:hAnsi="宋体" w:eastAsia="仿宋_GB2312" w:cs="宋体"/>
                <w:color w:val="auto"/>
                <w:kern w:val="0"/>
                <w:szCs w:val="21"/>
                <w:lang w:val="en-US" w:eastAsia="zh-CN"/>
              </w:rPr>
            </w:pPr>
          </w:p>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≥40%</w:t>
            </w:r>
          </w:p>
        </w:tc>
        <w:tc>
          <w:tcPr>
            <w:tcW w:w="585" w:type="dxa"/>
            <w:tcBorders>
              <w:top w:val="single" w:color="auto" w:sz="4" w:space="0"/>
              <w:bottom w:val="single" w:color="auto" w:sz="4" w:space="0"/>
            </w:tcBorders>
            <w:vAlign w:val="center"/>
          </w:tcPr>
          <w:p>
            <w:pPr>
              <w:spacing w:line="300" w:lineRule="exact"/>
              <w:ind w:left="0" w:firstLine="0"/>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≤25%</w:t>
            </w:r>
          </w:p>
        </w:tc>
        <w:tc>
          <w:tcPr>
            <w:tcW w:w="765"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≥625万元/公顷</w:t>
            </w:r>
          </w:p>
        </w:tc>
        <w:tc>
          <w:tcPr>
            <w:tcW w:w="765"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工业50年</w:t>
            </w:r>
          </w:p>
        </w:tc>
        <w:tc>
          <w:tcPr>
            <w:tcW w:w="1035" w:type="dxa"/>
            <w:vAlign w:val="center"/>
          </w:tcPr>
          <w:p>
            <w:pPr>
              <w:spacing w:line="300" w:lineRule="exact"/>
              <w:ind w:left="0" w:firstLine="0"/>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575.6243</w:t>
            </w:r>
          </w:p>
        </w:tc>
        <w:tc>
          <w:tcPr>
            <w:tcW w:w="1063" w:type="dxa"/>
            <w:vAlign w:val="center"/>
          </w:tcPr>
          <w:p>
            <w:pPr>
              <w:spacing w:line="300" w:lineRule="exact"/>
              <w:ind w:left="0" w:firstLine="0"/>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575.6243</w:t>
            </w:r>
          </w:p>
        </w:tc>
        <w:tc>
          <w:tcPr>
            <w:tcW w:w="879" w:type="dxa"/>
            <w:vMerge w:val="restart"/>
            <w:vAlign w:val="center"/>
          </w:tcPr>
          <w:p>
            <w:pPr>
              <w:spacing w:line="300" w:lineRule="exact"/>
              <w:ind w:left="0" w:firstLine="0"/>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地块的面积、规划方案等均以乌海市国土空间规划委员会最终批准方案为准。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7" w:hRule="atLeast"/>
          <w:jc w:val="center"/>
        </w:trPr>
        <w:tc>
          <w:tcPr>
            <w:tcW w:w="268" w:type="dxa"/>
            <w:vAlign w:val="center"/>
          </w:tcPr>
          <w:p>
            <w:pPr>
              <w:pStyle w:val="30"/>
              <w:rPr>
                <w:rFonts w:ascii="仿宋" w:hAnsi="仿宋" w:eastAsia="仿宋"/>
                <w:color w:val="auto"/>
              </w:rPr>
            </w:pPr>
          </w:p>
        </w:tc>
        <w:tc>
          <w:tcPr>
            <w:tcW w:w="887" w:type="dxa"/>
            <w:vAlign w:val="center"/>
          </w:tcPr>
          <w:p>
            <w:pPr>
              <w:spacing w:line="300" w:lineRule="exact"/>
              <w:ind w:left="0" w:firstLine="0"/>
              <w:jc w:val="center"/>
              <w:rPr>
                <w:rFonts w:hint="default" w:ascii="仿宋_GB2312" w:hAnsi="宋体" w:eastAsia="仿宋_GB2312" w:cs="宋体"/>
                <w:color w:val="auto"/>
                <w:kern w:val="0"/>
                <w:szCs w:val="21"/>
                <w:lang w:val="en-US"/>
              </w:rPr>
            </w:pPr>
            <w:r>
              <w:rPr>
                <w:rFonts w:hint="eastAsia" w:ascii="仿宋_GB2312" w:hAnsi="宋体" w:eastAsia="仿宋_GB2312" w:cs="宋体"/>
                <w:color w:val="auto"/>
                <w:kern w:val="0"/>
                <w:szCs w:val="21"/>
              </w:rPr>
              <w:t>202</w:t>
            </w:r>
            <w:r>
              <w:rPr>
                <w:rFonts w:hint="eastAsia" w:ascii="仿宋_GB2312" w:hAnsi="宋体" w:eastAsia="仿宋_GB2312" w:cs="宋体"/>
                <w:color w:val="auto"/>
                <w:kern w:val="0"/>
                <w:szCs w:val="21"/>
                <w:lang w:val="en-US" w:eastAsia="zh-CN"/>
              </w:rPr>
              <w:t>2</w:t>
            </w:r>
            <w:r>
              <w:rPr>
                <w:rFonts w:hint="eastAsia" w:ascii="仿宋_GB2312" w:hAnsi="宋体" w:eastAsia="仿宋_GB2312" w:cs="宋体"/>
                <w:color w:val="auto"/>
                <w:kern w:val="0"/>
                <w:szCs w:val="21"/>
              </w:rPr>
              <w:t>GA</w:t>
            </w:r>
            <w:r>
              <w:rPr>
                <w:rFonts w:hint="eastAsia" w:ascii="仿宋_GB2312" w:hAnsi="宋体" w:eastAsia="仿宋_GB2312" w:cs="宋体"/>
                <w:color w:val="auto"/>
                <w:kern w:val="0"/>
                <w:szCs w:val="21"/>
                <w:lang w:val="en-US" w:eastAsia="zh-CN"/>
              </w:rPr>
              <w:t>-22-02</w:t>
            </w:r>
          </w:p>
        </w:tc>
        <w:tc>
          <w:tcPr>
            <w:tcW w:w="1322"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海勃湾小型加工园区（海勃湾区）</w:t>
            </w:r>
          </w:p>
        </w:tc>
        <w:tc>
          <w:tcPr>
            <w:tcW w:w="840"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3383.2平方米(约5.07亩)</w:t>
            </w:r>
          </w:p>
        </w:tc>
        <w:tc>
          <w:tcPr>
            <w:tcW w:w="827"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工业用地</w:t>
            </w:r>
          </w:p>
        </w:tc>
        <w:tc>
          <w:tcPr>
            <w:tcW w:w="709"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0.7≤容积率≤1.2</w:t>
            </w:r>
          </w:p>
        </w:tc>
        <w:tc>
          <w:tcPr>
            <w:tcW w:w="740"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≤24米</w:t>
            </w:r>
          </w:p>
        </w:tc>
        <w:tc>
          <w:tcPr>
            <w:tcW w:w="1018" w:type="dxa"/>
            <w:vAlign w:val="top"/>
          </w:tcPr>
          <w:p>
            <w:pPr>
              <w:spacing w:line="300" w:lineRule="exact"/>
              <w:ind w:left="0" w:firstLine="0"/>
              <w:jc w:val="center"/>
              <w:rPr>
                <w:rFonts w:hint="eastAsia" w:ascii="仿宋_GB2312" w:hAnsi="宋体" w:eastAsia="仿宋_GB2312" w:cs="宋体"/>
                <w:color w:val="auto"/>
                <w:kern w:val="0"/>
                <w:szCs w:val="21"/>
                <w:lang w:val="en-US" w:eastAsia="zh-CN"/>
              </w:rPr>
            </w:pPr>
          </w:p>
          <w:p>
            <w:pPr>
              <w:spacing w:line="300" w:lineRule="exact"/>
              <w:ind w:left="0" w:firstLine="0"/>
              <w:jc w:val="center"/>
              <w:rPr>
                <w:rFonts w:hint="eastAsia" w:ascii="仿宋_GB2312" w:hAnsi="宋体" w:eastAsia="仿宋_GB2312" w:cs="宋体"/>
                <w:color w:val="auto"/>
                <w:kern w:val="0"/>
                <w:szCs w:val="21"/>
                <w:lang w:val="en-US" w:eastAsia="zh-CN"/>
              </w:rPr>
            </w:pPr>
          </w:p>
          <w:p>
            <w:pPr>
              <w:spacing w:line="300" w:lineRule="exact"/>
              <w:ind w:left="0" w:firstLine="0"/>
              <w:jc w:val="center"/>
              <w:rPr>
                <w:rFonts w:hint="eastAsia" w:ascii="仿宋_GB2312" w:hAnsi="宋体" w:eastAsia="仿宋_GB2312" w:cs="宋体"/>
                <w:color w:val="auto"/>
                <w:kern w:val="0"/>
                <w:szCs w:val="21"/>
                <w:lang w:val="en-US" w:eastAsia="zh-CN"/>
              </w:rPr>
            </w:pPr>
          </w:p>
          <w:p>
            <w:pPr>
              <w:spacing w:line="300" w:lineRule="exact"/>
              <w:ind w:left="0" w:firstLine="0"/>
              <w:jc w:val="center"/>
              <w:rPr>
                <w:rFonts w:hint="eastAsia" w:ascii="仿宋_GB2312" w:hAnsi="宋体" w:eastAsia="仿宋_GB2312" w:cs="宋体"/>
                <w:color w:val="auto"/>
                <w:kern w:val="0"/>
                <w:szCs w:val="21"/>
                <w:lang w:val="en-US" w:eastAsia="zh-CN"/>
              </w:rPr>
            </w:pPr>
          </w:p>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≥40%</w:t>
            </w:r>
          </w:p>
        </w:tc>
        <w:tc>
          <w:tcPr>
            <w:tcW w:w="585" w:type="dxa"/>
            <w:tcBorders>
              <w:top w:val="single" w:color="auto" w:sz="4" w:space="0"/>
              <w:bottom w:val="single" w:color="auto" w:sz="4" w:space="0"/>
            </w:tcBorders>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≤25%</w:t>
            </w:r>
          </w:p>
        </w:tc>
        <w:tc>
          <w:tcPr>
            <w:tcW w:w="765"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≥625万元/公顷</w:t>
            </w:r>
          </w:p>
        </w:tc>
        <w:tc>
          <w:tcPr>
            <w:tcW w:w="765"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工业20年</w:t>
            </w:r>
          </w:p>
        </w:tc>
        <w:tc>
          <w:tcPr>
            <w:tcW w:w="1035"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70.0323</w:t>
            </w:r>
          </w:p>
        </w:tc>
        <w:tc>
          <w:tcPr>
            <w:tcW w:w="1063"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70.0323</w:t>
            </w:r>
          </w:p>
        </w:tc>
        <w:tc>
          <w:tcPr>
            <w:tcW w:w="879" w:type="dxa"/>
            <w:vMerge w:val="continue"/>
            <w:vAlign w:val="center"/>
          </w:tcPr>
          <w:p>
            <w:pPr>
              <w:spacing w:line="300" w:lineRule="exact"/>
              <w:ind w:left="0" w:firstLine="0"/>
              <w:jc w:val="center"/>
              <w:rPr>
                <w:rFonts w:hint="eastAsia" w:ascii="仿宋_GB2312" w:hAnsi="宋体" w:eastAsia="仿宋_GB2312" w:cs="宋体"/>
                <w:color w:val="auto"/>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7" w:hRule="atLeast"/>
          <w:jc w:val="center"/>
        </w:trPr>
        <w:tc>
          <w:tcPr>
            <w:tcW w:w="268" w:type="dxa"/>
            <w:vAlign w:val="center"/>
          </w:tcPr>
          <w:p>
            <w:pPr>
              <w:pStyle w:val="30"/>
              <w:rPr>
                <w:rFonts w:ascii="仿宋" w:hAnsi="仿宋" w:eastAsia="仿宋"/>
                <w:color w:val="auto"/>
              </w:rPr>
            </w:pPr>
          </w:p>
        </w:tc>
        <w:tc>
          <w:tcPr>
            <w:tcW w:w="887" w:type="dxa"/>
            <w:vAlign w:val="center"/>
          </w:tcPr>
          <w:p>
            <w:pPr>
              <w:spacing w:line="300" w:lineRule="exact"/>
              <w:ind w:left="0" w:firstLine="0"/>
              <w:jc w:val="center"/>
              <w:rPr>
                <w:rFonts w:hint="default" w:ascii="仿宋_GB2312" w:hAnsi="宋体" w:eastAsia="仿宋_GB2312" w:cs="宋体"/>
                <w:color w:val="auto"/>
                <w:kern w:val="0"/>
                <w:szCs w:val="21"/>
                <w:lang w:val="en-US"/>
              </w:rPr>
            </w:pPr>
            <w:r>
              <w:rPr>
                <w:rFonts w:hint="eastAsia" w:ascii="仿宋_GB2312" w:hAnsi="宋体" w:eastAsia="仿宋_GB2312" w:cs="宋体"/>
                <w:color w:val="auto"/>
                <w:kern w:val="0"/>
                <w:szCs w:val="21"/>
              </w:rPr>
              <w:t>202</w:t>
            </w:r>
            <w:r>
              <w:rPr>
                <w:rFonts w:hint="eastAsia" w:ascii="仿宋_GB2312" w:hAnsi="宋体" w:eastAsia="仿宋_GB2312" w:cs="宋体"/>
                <w:color w:val="auto"/>
                <w:kern w:val="0"/>
                <w:szCs w:val="21"/>
                <w:lang w:val="en-US" w:eastAsia="zh-CN"/>
              </w:rPr>
              <w:t>2</w:t>
            </w:r>
            <w:r>
              <w:rPr>
                <w:rFonts w:hint="eastAsia" w:ascii="仿宋_GB2312" w:hAnsi="宋体" w:eastAsia="仿宋_GB2312" w:cs="宋体"/>
                <w:color w:val="auto"/>
                <w:kern w:val="0"/>
                <w:szCs w:val="21"/>
              </w:rPr>
              <w:t>GA</w:t>
            </w:r>
            <w:r>
              <w:rPr>
                <w:rFonts w:hint="eastAsia" w:ascii="仿宋_GB2312" w:hAnsi="宋体" w:eastAsia="仿宋_GB2312" w:cs="宋体"/>
                <w:color w:val="auto"/>
                <w:kern w:val="0"/>
                <w:szCs w:val="21"/>
                <w:lang w:val="en-US" w:eastAsia="zh-CN"/>
              </w:rPr>
              <w:t>-22-03</w:t>
            </w:r>
          </w:p>
        </w:tc>
        <w:tc>
          <w:tcPr>
            <w:tcW w:w="1322"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海勃湾小型加工园区（海勃湾区）</w:t>
            </w:r>
          </w:p>
        </w:tc>
        <w:tc>
          <w:tcPr>
            <w:tcW w:w="840"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93.86平方米（约0.14亩）</w:t>
            </w:r>
          </w:p>
        </w:tc>
        <w:tc>
          <w:tcPr>
            <w:tcW w:w="827"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工业用地</w:t>
            </w:r>
          </w:p>
        </w:tc>
        <w:tc>
          <w:tcPr>
            <w:tcW w:w="709"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0.6≤容积率≤1.5</w:t>
            </w:r>
          </w:p>
        </w:tc>
        <w:tc>
          <w:tcPr>
            <w:tcW w:w="740"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≤24米</w:t>
            </w:r>
          </w:p>
        </w:tc>
        <w:tc>
          <w:tcPr>
            <w:tcW w:w="1018" w:type="dxa"/>
            <w:vAlign w:val="top"/>
          </w:tcPr>
          <w:p>
            <w:pPr>
              <w:spacing w:line="300" w:lineRule="exact"/>
              <w:ind w:left="0" w:firstLine="0"/>
              <w:jc w:val="center"/>
              <w:rPr>
                <w:rFonts w:hint="eastAsia" w:ascii="仿宋_GB2312" w:hAnsi="宋体" w:eastAsia="仿宋_GB2312" w:cs="宋体"/>
                <w:color w:val="auto"/>
                <w:kern w:val="0"/>
                <w:szCs w:val="21"/>
                <w:lang w:val="en-US" w:eastAsia="zh-CN"/>
              </w:rPr>
            </w:pPr>
          </w:p>
          <w:p>
            <w:pPr>
              <w:spacing w:line="300" w:lineRule="exact"/>
              <w:ind w:left="0" w:firstLine="0"/>
              <w:jc w:val="center"/>
              <w:rPr>
                <w:rFonts w:hint="eastAsia" w:ascii="仿宋_GB2312" w:hAnsi="宋体" w:eastAsia="仿宋_GB2312" w:cs="宋体"/>
                <w:color w:val="auto"/>
                <w:kern w:val="0"/>
                <w:szCs w:val="21"/>
                <w:lang w:val="en-US" w:eastAsia="zh-CN"/>
              </w:rPr>
            </w:pPr>
          </w:p>
          <w:p>
            <w:pPr>
              <w:spacing w:line="300" w:lineRule="exact"/>
              <w:ind w:left="0" w:firstLine="0"/>
              <w:jc w:val="center"/>
              <w:rPr>
                <w:rFonts w:hint="eastAsia" w:ascii="仿宋_GB2312" w:hAnsi="宋体" w:eastAsia="仿宋_GB2312" w:cs="宋体"/>
                <w:color w:val="auto"/>
                <w:kern w:val="0"/>
                <w:szCs w:val="21"/>
                <w:lang w:val="en-US" w:eastAsia="zh-CN"/>
              </w:rPr>
            </w:pPr>
          </w:p>
          <w:p>
            <w:pPr>
              <w:spacing w:line="300" w:lineRule="exact"/>
              <w:ind w:left="0" w:firstLine="0"/>
              <w:jc w:val="center"/>
              <w:rPr>
                <w:rFonts w:hint="eastAsia" w:ascii="仿宋_GB2312" w:hAnsi="宋体" w:eastAsia="仿宋_GB2312" w:cs="宋体"/>
                <w:color w:val="auto"/>
                <w:kern w:val="0"/>
                <w:szCs w:val="21"/>
                <w:lang w:val="en-US" w:eastAsia="zh-CN"/>
              </w:rPr>
            </w:pPr>
          </w:p>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≥40%</w:t>
            </w:r>
          </w:p>
        </w:tc>
        <w:tc>
          <w:tcPr>
            <w:tcW w:w="585" w:type="dxa"/>
            <w:tcBorders>
              <w:top w:val="single" w:color="auto" w:sz="4" w:space="0"/>
              <w:bottom w:val="single" w:color="auto" w:sz="4" w:space="0"/>
            </w:tcBorders>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≤25%</w:t>
            </w:r>
          </w:p>
        </w:tc>
        <w:tc>
          <w:tcPr>
            <w:tcW w:w="765"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≥625万元/公顷</w:t>
            </w:r>
          </w:p>
        </w:tc>
        <w:tc>
          <w:tcPr>
            <w:tcW w:w="765"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工业50年</w:t>
            </w:r>
          </w:p>
        </w:tc>
        <w:tc>
          <w:tcPr>
            <w:tcW w:w="1035"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2.8722</w:t>
            </w:r>
          </w:p>
        </w:tc>
        <w:tc>
          <w:tcPr>
            <w:tcW w:w="1063"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2.8722</w:t>
            </w:r>
          </w:p>
        </w:tc>
        <w:tc>
          <w:tcPr>
            <w:tcW w:w="879" w:type="dxa"/>
            <w:vMerge w:val="continue"/>
            <w:vAlign w:val="center"/>
          </w:tcPr>
          <w:p>
            <w:pPr>
              <w:spacing w:line="300" w:lineRule="exact"/>
              <w:ind w:left="0" w:firstLine="0"/>
              <w:jc w:val="center"/>
              <w:rPr>
                <w:rFonts w:hint="eastAsia" w:ascii="仿宋_GB2312" w:hAnsi="宋体" w:eastAsia="仿宋_GB2312" w:cs="宋体"/>
                <w:color w:val="auto"/>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7" w:hRule="atLeast"/>
          <w:jc w:val="center"/>
        </w:trPr>
        <w:tc>
          <w:tcPr>
            <w:tcW w:w="268" w:type="dxa"/>
            <w:vAlign w:val="center"/>
          </w:tcPr>
          <w:p>
            <w:pPr>
              <w:pStyle w:val="30"/>
              <w:rPr>
                <w:rFonts w:ascii="仿宋" w:hAnsi="仿宋" w:eastAsia="仿宋"/>
                <w:color w:val="auto"/>
              </w:rPr>
            </w:pPr>
          </w:p>
        </w:tc>
        <w:tc>
          <w:tcPr>
            <w:tcW w:w="887" w:type="dxa"/>
            <w:vAlign w:val="center"/>
          </w:tcPr>
          <w:p>
            <w:pPr>
              <w:spacing w:line="300" w:lineRule="exact"/>
              <w:ind w:left="0" w:firstLine="0"/>
              <w:jc w:val="center"/>
              <w:rPr>
                <w:rFonts w:hint="default" w:ascii="仿宋_GB2312" w:hAnsi="宋体" w:eastAsia="仿宋_GB2312" w:cs="宋体"/>
                <w:color w:val="auto"/>
                <w:kern w:val="0"/>
                <w:szCs w:val="21"/>
                <w:lang w:val="en-US"/>
              </w:rPr>
            </w:pPr>
            <w:r>
              <w:rPr>
                <w:rFonts w:hint="eastAsia" w:ascii="仿宋_GB2312" w:hAnsi="宋体" w:eastAsia="仿宋_GB2312" w:cs="宋体"/>
                <w:color w:val="auto"/>
                <w:kern w:val="0"/>
                <w:szCs w:val="21"/>
              </w:rPr>
              <w:t>202</w:t>
            </w:r>
            <w:r>
              <w:rPr>
                <w:rFonts w:hint="eastAsia" w:ascii="仿宋_GB2312" w:hAnsi="宋体" w:eastAsia="仿宋_GB2312" w:cs="宋体"/>
                <w:color w:val="auto"/>
                <w:kern w:val="0"/>
                <w:szCs w:val="21"/>
                <w:lang w:val="en-US" w:eastAsia="zh-CN"/>
              </w:rPr>
              <w:t>2</w:t>
            </w:r>
            <w:r>
              <w:rPr>
                <w:rFonts w:hint="eastAsia" w:ascii="仿宋_GB2312" w:hAnsi="宋体" w:eastAsia="仿宋_GB2312" w:cs="宋体"/>
                <w:color w:val="auto"/>
                <w:kern w:val="0"/>
                <w:szCs w:val="21"/>
              </w:rPr>
              <w:t>GA</w:t>
            </w:r>
            <w:r>
              <w:rPr>
                <w:rFonts w:hint="eastAsia" w:ascii="仿宋_GB2312" w:hAnsi="宋体" w:eastAsia="仿宋_GB2312" w:cs="宋体"/>
                <w:color w:val="auto"/>
                <w:kern w:val="0"/>
                <w:szCs w:val="21"/>
                <w:lang w:val="en-US" w:eastAsia="zh-CN"/>
              </w:rPr>
              <w:t>-22-04</w:t>
            </w:r>
          </w:p>
        </w:tc>
        <w:tc>
          <w:tcPr>
            <w:tcW w:w="1322"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新西线东侧、卡布其长虹沟北侧</w:t>
            </w:r>
          </w:p>
        </w:tc>
        <w:tc>
          <w:tcPr>
            <w:tcW w:w="840"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13880.71平方米(约20.82亩)</w:t>
            </w:r>
          </w:p>
        </w:tc>
        <w:tc>
          <w:tcPr>
            <w:tcW w:w="827"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工业用地</w:t>
            </w:r>
          </w:p>
        </w:tc>
        <w:tc>
          <w:tcPr>
            <w:tcW w:w="709"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≥0.7</w:t>
            </w:r>
          </w:p>
        </w:tc>
        <w:tc>
          <w:tcPr>
            <w:tcW w:w="740"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≤20米</w:t>
            </w:r>
          </w:p>
        </w:tc>
        <w:tc>
          <w:tcPr>
            <w:tcW w:w="1018" w:type="dxa"/>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 xml:space="preserve">                   </w:t>
            </w:r>
          </w:p>
          <w:p>
            <w:pPr>
              <w:spacing w:line="300" w:lineRule="exact"/>
              <w:ind w:left="0" w:firstLine="0"/>
              <w:jc w:val="center"/>
              <w:rPr>
                <w:rFonts w:hint="eastAsia" w:ascii="仿宋_GB2312" w:hAnsi="宋体" w:eastAsia="仿宋_GB2312" w:cs="宋体"/>
                <w:color w:val="auto"/>
                <w:kern w:val="0"/>
                <w:szCs w:val="21"/>
                <w:lang w:val="en-US" w:eastAsia="zh-CN"/>
              </w:rPr>
            </w:pPr>
          </w:p>
          <w:p>
            <w:pPr>
              <w:spacing w:line="300" w:lineRule="exact"/>
              <w:ind w:left="0" w:firstLine="0"/>
              <w:jc w:val="center"/>
              <w:rPr>
                <w:rFonts w:hint="eastAsia" w:ascii="仿宋_GB2312" w:hAnsi="宋体" w:eastAsia="仿宋_GB2312" w:cs="宋体"/>
                <w:color w:val="auto"/>
                <w:kern w:val="0"/>
                <w:szCs w:val="21"/>
                <w:lang w:val="en-US" w:eastAsia="zh-CN"/>
              </w:rPr>
            </w:pPr>
          </w:p>
          <w:p>
            <w:pPr>
              <w:spacing w:line="300" w:lineRule="exact"/>
              <w:ind w:left="0" w:firstLine="0"/>
              <w:jc w:val="center"/>
              <w:rPr>
                <w:rFonts w:hint="eastAsia" w:ascii="仿宋_GB2312" w:hAnsi="宋体" w:eastAsia="仿宋_GB2312" w:cs="宋体"/>
                <w:color w:val="auto"/>
                <w:kern w:val="0"/>
                <w:szCs w:val="21"/>
                <w:lang w:val="en-US" w:eastAsia="zh-CN"/>
              </w:rPr>
            </w:pPr>
          </w:p>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≥30%</w:t>
            </w:r>
          </w:p>
        </w:tc>
        <w:tc>
          <w:tcPr>
            <w:tcW w:w="585" w:type="dxa"/>
            <w:tcBorders>
              <w:top w:val="single" w:color="auto" w:sz="4" w:space="0"/>
              <w:bottom w:val="single" w:color="auto" w:sz="4" w:space="0"/>
            </w:tcBorders>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≤20%</w:t>
            </w:r>
          </w:p>
        </w:tc>
        <w:tc>
          <w:tcPr>
            <w:tcW w:w="765"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≥625万元/公顷</w:t>
            </w:r>
          </w:p>
        </w:tc>
        <w:tc>
          <w:tcPr>
            <w:tcW w:w="765"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工业50年</w:t>
            </w:r>
          </w:p>
        </w:tc>
        <w:tc>
          <w:tcPr>
            <w:tcW w:w="1035"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95.7769</w:t>
            </w:r>
          </w:p>
        </w:tc>
        <w:tc>
          <w:tcPr>
            <w:tcW w:w="1063"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95.7769</w:t>
            </w:r>
          </w:p>
        </w:tc>
        <w:tc>
          <w:tcPr>
            <w:tcW w:w="879" w:type="dxa"/>
            <w:vMerge w:val="continue"/>
            <w:vAlign w:val="center"/>
          </w:tcPr>
          <w:p>
            <w:pPr>
              <w:spacing w:line="300" w:lineRule="exact"/>
              <w:ind w:left="0" w:firstLine="0"/>
              <w:jc w:val="center"/>
              <w:rPr>
                <w:rFonts w:hint="eastAsia" w:ascii="仿宋_GB2312" w:hAnsi="宋体" w:eastAsia="仿宋_GB2312" w:cs="宋体"/>
                <w:color w:val="auto"/>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7" w:hRule="atLeast"/>
          <w:jc w:val="center"/>
        </w:trPr>
        <w:tc>
          <w:tcPr>
            <w:tcW w:w="268" w:type="dxa"/>
            <w:vAlign w:val="center"/>
          </w:tcPr>
          <w:p>
            <w:pPr>
              <w:pStyle w:val="30"/>
              <w:rPr>
                <w:rFonts w:ascii="仿宋" w:hAnsi="仿宋" w:eastAsia="仿宋"/>
                <w:color w:val="auto"/>
              </w:rPr>
            </w:pPr>
          </w:p>
        </w:tc>
        <w:tc>
          <w:tcPr>
            <w:tcW w:w="887" w:type="dxa"/>
            <w:vAlign w:val="center"/>
          </w:tcPr>
          <w:p>
            <w:pPr>
              <w:spacing w:line="300" w:lineRule="exact"/>
              <w:ind w:left="0" w:firstLine="0"/>
              <w:jc w:val="center"/>
              <w:rPr>
                <w:rFonts w:hint="default" w:ascii="仿宋_GB2312" w:hAnsi="宋体" w:eastAsia="仿宋_GB2312" w:cs="宋体"/>
                <w:color w:val="auto"/>
                <w:kern w:val="0"/>
                <w:szCs w:val="21"/>
                <w:lang w:val="en-US"/>
              </w:rPr>
            </w:pPr>
            <w:r>
              <w:rPr>
                <w:rFonts w:hint="eastAsia" w:ascii="仿宋_GB2312" w:hAnsi="宋体" w:eastAsia="仿宋_GB2312" w:cs="宋体"/>
                <w:color w:val="auto"/>
                <w:kern w:val="0"/>
                <w:szCs w:val="21"/>
              </w:rPr>
              <w:t>202</w:t>
            </w:r>
            <w:r>
              <w:rPr>
                <w:rFonts w:hint="eastAsia" w:ascii="仿宋_GB2312" w:hAnsi="宋体" w:eastAsia="仿宋_GB2312" w:cs="宋体"/>
                <w:color w:val="auto"/>
                <w:kern w:val="0"/>
                <w:szCs w:val="21"/>
                <w:lang w:val="en-US" w:eastAsia="zh-CN"/>
              </w:rPr>
              <w:t>2</w:t>
            </w:r>
            <w:r>
              <w:rPr>
                <w:rFonts w:hint="eastAsia" w:ascii="仿宋_GB2312" w:hAnsi="宋体" w:eastAsia="仿宋_GB2312" w:cs="宋体"/>
                <w:color w:val="auto"/>
                <w:kern w:val="0"/>
                <w:szCs w:val="21"/>
              </w:rPr>
              <w:t>GA</w:t>
            </w:r>
            <w:r>
              <w:rPr>
                <w:rFonts w:hint="eastAsia" w:ascii="仿宋_GB2312" w:hAnsi="宋体" w:eastAsia="仿宋_GB2312" w:cs="宋体"/>
                <w:color w:val="auto"/>
                <w:kern w:val="0"/>
                <w:szCs w:val="21"/>
                <w:lang w:val="en-US" w:eastAsia="zh-CN"/>
              </w:rPr>
              <w:t>-22-05</w:t>
            </w:r>
          </w:p>
        </w:tc>
        <w:tc>
          <w:tcPr>
            <w:tcW w:w="1322"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公园路东侧、千禧苑小区西沿街商业</w:t>
            </w:r>
          </w:p>
        </w:tc>
        <w:tc>
          <w:tcPr>
            <w:tcW w:w="840"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3413.1平方米(约5.12亩)</w:t>
            </w:r>
          </w:p>
        </w:tc>
        <w:tc>
          <w:tcPr>
            <w:tcW w:w="827"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商业用地</w:t>
            </w:r>
          </w:p>
        </w:tc>
        <w:tc>
          <w:tcPr>
            <w:tcW w:w="709"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≤2.0</w:t>
            </w:r>
          </w:p>
        </w:tc>
        <w:tc>
          <w:tcPr>
            <w:tcW w:w="740"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≤10.0米</w:t>
            </w:r>
          </w:p>
        </w:tc>
        <w:tc>
          <w:tcPr>
            <w:tcW w:w="1018" w:type="dxa"/>
          </w:tcPr>
          <w:p>
            <w:pPr>
              <w:spacing w:line="300" w:lineRule="exact"/>
              <w:ind w:left="0" w:firstLine="0"/>
              <w:jc w:val="center"/>
              <w:rPr>
                <w:rFonts w:hint="eastAsia" w:ascii="仿宋_GB2312" w:hAnsi="宋体" w:eastAsia="仿宋_GB2312" w:cs="宋体"/>
                <w:color w:val="auto"/>
                <w:kern w:val="0"/>
                <w:szCs w:val="21"/>
                <w:lang w:val="en-US" w:eastAsia="zh-CN"/>
              </w:rPr>
            </w:pPr>
          </w:p>
          <w:p>
            <w:pPr>
              <w:spacing w:line="300" w:lineRule="exact"/>
              <w:ind w:left="0" w:firstLine="0"/>
              <w:jc w:val="center"/>
              <w:rPr>
                <w:rFonts w:hint="eastAsia" w:ascii="仿宋_GB2312" w:hAnsi="宋体" w:eastAsia="仿宋_GB2312" w:cs="宋体"/>
                <w:color w:val="auto"/>
                <w:kern w:val="0"/>
                <w:szCs w:val="21"/>
                <w:lang w:val="en-US" w:eastAsia="zh-CN"/>
              </w:rPr>
            </w:pPr>
          </w:p>
          <w:p>
            <w:pPr>
              <w:spacing w:line="300" w:lineRule="exact"/>
              <w:ind w:left="0" w:firstLine="0"/>
              <w:jc w:val="center"/>
              <w:rPr>
                <w:rFonts w:hint="eastAsia" w:ascii="仿宋_GB2312" w:hAnsi="宋体" w:eastAsia="仿宋_GB2312" w:cs="宋体"/>
                <w:color w:val="auto"/>
                <w:kern w:val="0"/>
                <w:szCs w:val="21"/>
                <w:lang w:val="en-US" w:eastAsia="zh-CN"/>
              </w:rPr>
            </w:pPr>
          </w:p>
          <w:p>
            <w:pPr>
              <w:spacing w:line="300" w:lineRule="exact"/>
              <w:ind w:left="0" w:firstLine="0"/>
              <w:jc w:val="center"/>
              <w:rPr>
                <w:rFonts w:hint="eastAsia" w:ascii="仿宋_GB2312" w:hAnsi="宋体" w:eastAsia="仿宋_GB2312" w:cs="宋体"/>
                <w:color w:val="auto"/>
                <w:kern w:val="0"/>
                <w:szCs w:val="21"/>
                <w:lang w:val="en-US" w:eastAsia="zh-CN"/>
              </w:rPr>
            </w:pPr>
          </w:p>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≤95%</w:t>
            </w:r>
            <w:r>
              <w:rPr>
                <w:rFonts w:hint="eastAsia" w:ascii="仿宋" w:hAnsi="仿宋" w:eastAsia="仿宋" w:cs="FangSong_GB2312falt"/>
                <w:b/>
                <w:bCs/>
                <w:color w:val="auto"/>
                <w:sz w:val="18"/>
                <w:szCs w:val="18"/>
                <w:lang w:eastAsia="zh-CN"/>
              </w:rPr>
              <w:t>（建筑密度）</w:t>
            </w:r>
          </w:p>
        </w:tc>
        <w:tc>
          <w:tcPr>
            <w:tcW w:w="585" w:type="dxa"/>
            <w:tcBorders>
              <w:top w:val="single" w:color="auto" w:sz="4" w:space="0"/>
              <w:bottom w:val="single" w:color="auto" w:sz="4" w:space="0"/>
            </w:tcBorders>
            <w:vAlign w:val="center"/>
          </w:tcPr>
          <w:p>
            <w:pPr>
              <w:spacing w:line="300" w:lineRule="exact"/>
              <w:ind w:left="0" w:firstLine="0"/>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w:t>
            </w:r>
          </w:p>
        </w:tc>
        <w:tc>
          <w:tcPr>
            <w:tcW w:w="765" w:type="dxa"/>
            <w:vAlign w:val="center"/>
          </w:tcPr>
          <w:p>
            <w:pPr>
              <w:spacing w:line="300" w:lineRule="exact"/>
              <w:ind w:left="0" w:firstLine="0"/>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w:t>
            </w:r>
          </w:p>
        </w:tc>
        <w:tc>
          <w:tcPr>
            <w:tcW w:w="765"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商业40年</w:t>
            </w:r>
          </w:p>
        </w:tc>
        <w:tc>
          <w:tcPr>
            <w:tcW w:w="1035"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1098.3356</w:t>
            </w:r>
          </w:p>
        </w:tc>
        <w:tc>
          <w:tcPr>
            <w:tcW w:w="1063"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1098.3356</w:t>
            </w:r>
          </w:p>
        </w:tc>
        <w:tc>
          <w:tcPr>
            <w:tcW w:w="879" w:type="dxa"/>
            <w:vMerge w:val="continue"/>
            <w:vAlign w:val="center"/>
          </w:tcPr>
          <w:p>
            <w:pPr>
              <w:spacing w:line="300" w:lineRule="exact"/>
              <w:ind w:left="0" w:firstLine="0"/>
              <w:jc w:val="center"/>
              <w:rPr>
                <w:rFonts w:hint="eastAsia" w:ascii="仿宋_GB2312" w:hAnsi="宋体" w:eastAsia="仿宋_GB2312" w:cs="宋体"/>
                <w:color w:val="auto"/>
                <w:kern w:val="0"/>
                <w:szCs w:val="21"/>
              </w:rPr>
            </w:pPr>
          </w:p>
        </w:tc>
      </w:tr>
    </w:tbl>
    <w:p>
      <w:pPr>
        <w:tabs>
          <w:tab w:val="left" w:pos="7350"/>
        </w:tabs>
        <w:spacing w:line="560" w:lineRule="exact"/>
        <w:ind w:left="0" w:leftChars="0" w:firstLine="640" w:firstLineChars="200"/>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二、中华人民共和国境内外的法人、自然人和其他组织，除法律法规对申请人另有限制外，均可申请参加。本次挂牌不接受联合申请。</w:t>
      </w:r>
    </w:p>
    <w:p>
      <w:pPr>
        <w:tabs>
          <w:tab w:val="left" w:pos="7350"/>
        </w:tabs>
        <w:spacing w:line="560" w:lineRule="exact"/>
        <w:ind w:left="0" w:firstLine="640" w:firstLineChars="200"/>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工业项目用地，竞得人在项目审批时，除满足《工业项目建设用地控制指标》的要求外，还必须遵守城市规划、环境保护等法律法规，并符合国家的产业政策。</w:t>
      </w:r>
    </w:p>
    <w:p>
      <w:pPr>
        <w:tabs>
          <w:tab w:val="left" w:pos="7350"/>
        </w:tabs>
        <w:spacing w:line="560" w:lineRule="exact"/>
        <w:ind w:left="0" w:firstLine="640" w:firstLineChars="200"/>
        <w:textAlignment w:val="baseline"/>
        <w:rPr>
          <w:rFonts w:ascii="仿宋" w:hAnsi="仿宋" w:eastAsia="仿宋"/>
          <w:color w:val="auto"/>
          <w:sz w:val="32"/>
          <w:szCs w:val="32"/>
        </w:rPr>
      </w:pPr>
      <w:r>
        <w:rPr>
          <w:rFonts w:hint="eastAsia" w:ascii="仿宋" w:hAnsi="仿宋" w:eastAsia="仿宋"/>
          <w:color w:val="auto"/>
          <w:sz w:val="32"/>
          <w:szCs w:val="32"/>
        </w:rPr>
        <w:t>房地产开发用地，申请竞买者须提交保证金不属于银行贷款、股东借款、转贷和募集资金的承诺书及商业金融机构的资信证明。</w:t>
      </w:r>
    </w:p>
    <w:p>
      <w:pPr>
        <w:tabs>
          <w:tab w:val="left" w:pos="7350"/>
        </w:tabs>
        <w:spacing w:line="560" w:lineRule="exact"/>
        <w:ind w:left="0" w:firstLine="640" w:firstLineChars="200"/>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三、</w:t>
      </w:r>
      <w:r>
        <w:rPr>
          <w:rStyle w:val="17"/>
          <w:rFonts w:hint="eastAsia" w:ascii="仿宋" w:hAnsi="仿宋" w:eastAsia="仿宋"/>
          <w:b w:val="0"/>
          <w:color w:val="auto"/>
          <w:sz w:val="32"/>
          <w:szCs w:val="32"/>
          <w:shd w:val="clear" w:color="auto" w:fill="FFFFFF"/>
        </w:rPr>
        <w:t>竞价原则</w:t>
      </w:r>
    </w:p>
    <w:p>
      <w:pPr>
        <w:tabs>
          <w:tab w:val="left" w:pos="7350"/>
        </w:tabs>
        <w:spacing w:line="560" w:lineRule="exact"/>
        <w:ind w:left="0" w:firstLine="640" w:firstLineChars="200"/>
        <w:textAlignment w:val="baseline"/>
        <w:rPr>
          <w:rFonts w:ascii="仿宋" w:hAnsi="仿宋" w:eastAsia="仿宋"/>
          <w:color w:val="auto"/>
          <w:sz w:val="32"/>
          <w:szCs w:val="32"/>
        </w:rPr>
      </w:pPr>
      <w:r>
        <w:rPr>
          <w:rFonts w:hint="eastAsia" w:ascii="仿宋" w:hAnsi="仿宋" w:eastAsia="仿宋"/>
          <w:bCs/>
          <w:color w:val="auto"/>
          <w:sz w:val="32"/>
          <w:szCs w:val="32"/>
        </w:rPr>
        <w:t>本次国有建设用地使用权挂牌出让按照价高者得原则确定竞得人。</w:t>
      </w:r>
    </w:p>
    <w:p>
      <w:pPr>
        <w:spacing w:line="560" w:lineRule="exact"/>
        <w:ind w:left="0" w:firstLine="640" w:firstLineChars="200"/>
        <w:textAlignment w:val="baseline"/>
        <w:rPr>
          <w:rFonts w:ascii="仿宋" w:hAnsi="仿宋" w:eastAsia="仿宋"/>
          <w:color w:val="auto"/>
          <w:sz w:val="32"/>
          <w:szCs w:val="32"/>
        </w:rPr>
      </w:pPr>
      <w:r>
        <w:rPr>
          <w:rFonts w:hint="eastAsia" w:ascii="仿宋" w:hAnsi="仿宋" w:eastAsia="仿宋" w:cs="FangSong_GB2312"/>
          <w:color w:val="auto"/>
          <w:sz w:val="32"/>
          <w:szCs w:val="32"/>
        </w:rPr>
        <w:t>四、本次挂牌出让的公告时间为</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2</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8</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29</w:t>
      </w:r>
      <w:r>
        <w:rPr>
          <w:rFonts w:hint="eastAsia" w:ascii="仿宋" w:hAnsi="仿宋" w:eastAsia="仿宋" w:cs="FangSong_GB2312"/>
          <w:color w:val="auto"/>
          <w:sz w:val="32"/>
          <w:szCs w:val="32"/>
          <w:highlight w:val="none"/>
        </w:rPr>
        <w:t>日至</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2</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9</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17</w:t>
      </w:r>
      <w:r>
        <w:rPr>
          <w:rFonts w:hint="eastAsia" w:ascii="仿宋" w:hAnsi="仿宋" w:eastAsia="仿宋" w:cs="FangSong_GB2312"/>
          <w:color w:val="auto"/>
          <w:sz w:val="32"/>
          <w:szCs w:val="32"/>
          <w:highlight w:val="none"/>
        </w:rPr>
        <w:t>日，详细资料和具体要求，以挂牌出让文件为准。申请人可于</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2</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8</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29</w:t>
      </w:r>
      <w:r>
        <w:rPr>
          <w:rFonts w:hint="eastAsia" w:ascii="仿宋" w:hAnsi="仿宋" w:eastAsia="仿宋" w:cs="FangSong_GB2312"/>
          <w:color w:val="auto"/>
          <w:sz w:val="32"/>
          <w:szCs w:val="32"/>
          <w:highlight w:val="none"/>
        </w:rPr>
        <w:t>日至</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2</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9</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27</w:t>
      </w:r>
      <w:r>
        <w:rPr>
          <w:rFonts w:hint="eastAsia" w:ascii="仿宋" w:hAnsi="仿宋" w:eastAsia="仿宋" w:cs="FangSong_GB2312"/>
          <w:color w:val="auto"/>
          <w:sz w:val="32"/>
          <w:szCs w:val="32"/>
          <w:highlight w:val="none"/>
        </w:rPr>
        <w:t>日</w:t>
      </w:r>
      <w:r>
        <w:rPr>
          <w:rFonts w:hint="eastAsia" w:ascii="仿宋" w:hAnsi="仿宋" w:eastAsia="仿宋" w:cs="FangSong_GB2312"/>
          <w:color w:val="auto"/>
          <w:sz w:val="32"/>
          <w:szCs w:val="32"/>
        </w:rPr>
        <w:t>到乌海市公共资源交易中心或登陆网站（</w:t>
      </w:r>
      <w:r>
        <w:rPr>
          <w:rFonts w:ascii="仿宋" w:hAnsi="仿宋" w:eastAsia="仿宋" w:cs="FangSong_GB2312"/>
          <w:color w:val="auto"/>
          <w:sz w:val="32"/>
          <w:szCs w:val="32"/>
        </w:rPr>
        <w:t>http:// zrzy.wuhai.gov.cn/</w:t>
      </w:r>
      <w:r>
        <w:rPr>
          <w:rFonts w:hint="eastAsia" w:ascii="仿宋" w:hAnsi="仿宋" w:eastAsia="仿宋" w:cs="FangSong_GB2312"/>
          <w:color w:val="auto"/>
          <w:sz w:val="32"/>
          <w:szCs w:val="32"/>
        </w:rPr>
        <w:t>或</w:t>
      </w:r>
      <w:r>
        <w:rPr>
          <w:rFonts w:ascii="仿宋" w:hAnsi="仿宋" w:eastAsia="仿宋" w:cs="FangSong_GB2312"/>
          <w:color w:val="auto"/>
          <w:sz w:val="32"/>
          <w:szCs w:val="32"/>
        </w:rPr>
        <w:t>http://www.whggzy.com</w:t>
      </w:r>
      <w:r>
        <w:rPr>
          <w:rFonts w:hint="eastAsia" w:ascii="仿宋" w:hAnsi="仿宋" w:eastAsia="仿宋" w:cs="FangSong_GB2312"/>
          <w:color w:val="auto"/>
          <w:sz w:val="32"/>
          <w:szCs w:val="32"/>
        </w:rPr>
        <w:t>）或内蒙古自治区网上交易系统（</w:t>
      </w:r>
      <w:r>
        <w:rPr>
          <w:rFonts w:ascii="仿宋" w:hAnsi="仿宋" w:eastAsia="仿宋" w:cs="FangSong_GB2312"/>
          <w:color w:val="auto"/>
          <w:sz w:val="32"/>
          <w:szCs w:val="32"/>
        </w:rPr>
        <w:t>http://110.16.70.81:8090/trade-engine/trade/index</w:t>
      </w:r>
      <w:r>
        <w:rPr>
          <w:rFonts w:hint="eastAsia" w:ascii="仿宋" w:hAnsi="仿宋" w:eastAsia="仿宋" w:cs="FangSong_GB2312"/>
          <w:color w:val="auto"/>
          <w:sz w:val="32"/>
          <w:szCs w:val="32"/>
        </w:rPr>
        <w:t>）获取本次挂牌出让的出让须知和有关资料（不包括法定节假日）。</w:t>
      </w:r>
    </w:p>
    <w:p>
      <w:pPr>
        <w:spacing w:line="560" w:lineRule="exact"/>
        <w:ind w:left="0" w:firstLine="640" w:firstLineChars="200"/>
        <w:textAlignment w:val="baseline"/>
        <w:rPr>
          <w:rFonts w:ascii="仿宋" w:hAnsi="仿宋" w:eastAsia="仿宋"/>
          <w:color w:val="auto"/>
          <w:sz w:val="32"/>
          <w:szCs w:val="32"/>
        </w:rPr>
      </w:pPr>
      <w:r>
        <w:rPr>
          <w:rFonts w:hint="eastAsia" w:ascii="仿宋" w:hAnsi="仿宋" w:eastAsia="仿宋" w:cs="FangSong_GB2312"/>
          <w:color w:val="auto"/>
          <w:sz w:val="32"/>
          <w:szCs w:val="32"/>
        </w:rPr>
        <w:t>五、本次挂牌地点为乌海市公共资源交易中心，</w:t>
      </w:r>
      <w:r>
        <w:rPr>
          <w:rFonts w:hint="eastAsia" w:ascii="仿宋" w:hAnsi="仿宋" w:eastAsia="仿宋" w:cs="FangSong_GB2312"/>
          <w:color w:val="auto"/>
          <w:sz w:val="32"/>
          <w:szCs w:val="32"/>
          <w:highlight w:val="none"/>
        </w:rPr>
        <w:t>挂牌时间为</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2</w:t>
      </w:r>
      <w:r>
        <w:rPr>
          <w:rFonts w:hint="eastAsia" w:ascii="仿宋" w:hAnsi="仿宋" w:eastAsia="仿宋" w:cs="FangSong_GB2312"/>
          <w:color w:val="auto"/>
          <w:sz w:val="32"/>
          <w:szCs w:val="32"/>
          <w:highlight w:val="none"/>
        </w:rPr>
        <w:t>年</w:t>
      </w:r>
      <w:r>
        <w:rPr>
          <w:rFonts w:hint="eastAsia" w:ascii="仿宋" w:hAnsi="仿宋" w:eastAsia="仿宋" w:cs="FangSong_GB2312"/>
          <w:color w:val="auto"/>
          <w:sz w:val="32"/>
          <w:szCs w:val="32"/>
          <w:highlight w:val="none"/>
          <w:lang w:val="en-US" w:eastAsia="zh-CN"/>
        </w:rPr>
        <w:t>9</w:t>
      </w:r>
      <w:r>
        <w:rPr>
          <w:rFonts w:hint="eastAsia" w:ascii="仿宋" w:hAnsi="仿宋" w:eastAsia="仿宋" w:cs="FangSong_GB2312"/>
          <w:color w:val="auto"/>
          <w:sz w:val="32"/>
          <w:szCs w:val="32"/>
          <w:highlight w:val="none"/>
        </w:rPr>
        <w:t>月</w:t>
      </w:r>
      <w:r>
        <w:rPr>
          <w:rFonts w:hint="eastAsia" w:ascii="仿宋" w:hAnsi="仿宋" w:eastAsia="仿宋" w:cs="FangSong_GB2312"/>
          <w:color w:val="auto"/>
          <w:sz w:val="32"/>
          <w:szCs w:val="32"/>
          <w:highlight w:val="none"/>
          <w:lang w:val="en-US" w:eastAsia="zh-CN"/>
        </w:rPr>
        <w:t>19</w:t>
      </w:r>
      <w:r>
        <w:rPr>
          <w:rFonts w:hint="eastAsia" w:ascii="仿宋" w:hAnsi="仿宋" w:eastAsia="仿宋" w:cs="FangSong_GB2312"/>
          <w:color w:val="auto"/>
          <w:sz w:val="32"/>
          <w:szCs w:val="32"/>
          <w:highlight w:val="none"/>
        </w:rPr>
        <w:t>日</w:t>
      </w:r>
      <w:r>
        <w:rPr>
          <w:rFonts w:ascii="仿宋" w:hAnsi="仿宋" w:eastAsia="仿宋" w:cs="FangSong_GB2312"/>
          <w:color w:val="auto"/>
          <w:sz w:val="32"/>
          <w:szCs w:val="32"/>
          <w:highlight w:val="none"/>
        </w:rPr>
        <w:t>9</w:t>
      </w:r>
      <w:r>
        <w:rPr>
          <w:rFonts w:hint="eastAsia" w:ascii="仿宋" w:hAnsi="仿宋" w:eastAsia="仿宋" w:cs="FangSong_GB2312"/>
          <w:color w:val="auto"/>
          <w:sz w:val="32"/>
          <w:szCs w:val="32"/>
          <w:highlight w:val="none"/>
        </w:rPr>
        <w:t>：</w:t>
      </w:r>
      <w:r>
        <w:rPr>
          <w:rFonts w:ascii="仿宋" w:hAnsi="仿宋" w:eastAsia="仿宋" w:cs="FangSong_GB2312"/>
          <w:color w:val="auto"/>
          <w:sz w:val="32"/>
          <w:szCs w:val="32"/>
          <w:highlight w:val="none"/>
        </w:rPr>
        <w:t>00</w:t>
      </w:r>
      <w:r>
        <w:rPr>
          <w:rFonts w:hint="eastAsia" w:ascii="仿宋" w:hAnsi="仿宋" w:eastAsia="仿宋" w:cs="FangSong_GB2312"/>
          <w:color w:val="auto"/>
          <w:sz w:val="32"/>
          <w:szCs w:val="32"/>
          <w:highlight w:val="none"/>
        </w:rPr>
        <w:t>时至</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2</w:t>
      </w:r>
      <w:r>
        <w:rPr>
          <w:rFonts w:hint="eastAsia" w:ascii="仿宋" w:hAnsi="仿宋" w:eastAsia="仿宋" w:cs="FangSong_GB2312"/>
          <w:color w:val="auto"/>
          <w:sz w:val="32"/>
          <w:szCs w:val="32"/>
          <w:highlight w:val="none"/>
        </w:rPr>
        <w:t>年</w:t>
      </w:r>
      <w:r>
        <w:rPr>
          <w:rFonts w:hint="eastAsia" w:ascii="仿宋" w:hAnsi="仿宋" w:eastAsia="仿宋" w:cs="FangSong_GB2312"/>
          <w:color w:val="auto"/>
          <w:sz w:val="32"/>
          <w:szCs w:val="32"/>
          <w:highlight w:val="none"/>
          <w:lang w:val="en-US" w:eastAsia="zh-CN"/>
        </w:rPr>
        <w:t>9</w:t>
      </w:r>
      <w:r>
        <w:rPr>
          <w:rFonts w:hint="eastAsia" w:ascii="仿宋" w:hAnsi="仿宋" w:eastAsia="仿宋" w:cs="FangSong_GB2312"/>
          <w:color w:val="auto"/>
          <w:sz w:val="32"/>
          <w:szCs w:val="32"/>
          <w:highlight w:val="none"/>
        </w:rPr>
        <w:t>月</w:t>
      </w:r>
      <w:r>
        <w:rPr>
          <w:rFonts w:hint="eastAsia" w:ascii="仿宋" w:hAnsi="仿宋" w:eastAsia="仿宋" w:cs="FangSong_GB2312"/>
          <w:color w:val="auto"/>
          <w:sz w:val="32"/>
          <w:szCs w:val="32"/>
          <w:highlight w:val="none"/>
          <w:lang w:val="en-US" w:eastAsia="zh-CN"/>
        </w:rPr>
        <w:t>30</w:t>
      </w:r>
      <w:r>
        <w:rPr>
          <w:rFonts w:hint="eastAsia" w:ascii="仿宋" w:hAnsi="仿宋" w:eastAsia="仿宋" w:cs="FangSong_GB2312"/>
          <w:color w:val="auto"/>
          <w:sz w:val="32"/>
          <w:szCs w:val="32"/>
          <w:highlight w:val="none"/>
        </w:rPr>
        <w:t>日</w:t>
      </w:r>
      <w:r>
        <w:rPr>
          <w:rFonts w:ascii="仿宋" w:hAnsi="仿宋" w:eastAsia="仿宋" w:cs="FangSong_GB2312"/>
          <w:color w:val="auto"/>
          <w:sz w:val="32"/>
          <w:szCs w:val="32"/>
          <w:highlight w:val="none"/>
        </w:rPr>
        <w:t>16</w:t>
      </w:r>
      <w:r>
        <w:rPr>
          <w:rFonts w:hint="eastAsia" w:ascii="仿宋" w:hAnsi="仿宋" w:eastAsia="仿宋" w:cs="FangSong_GB2312"/>
          <w:color w:val="auto"/>
          <w:sz w:val="32"/>
          <w:szCs w:val="32"/>
          <w:highlight w:val="none"/>
        </w:rPr>
        <w:t>：</w:t>
      </w:r>
      <w:r>
        <w:rPr>
          <w:rFonts w:ascii="仿宋" w:hAnsi="仿宋" w:eastAsia="仿宋" w:cs="FangSong_GB2312"/>
          <w:color w:val="auto"/>
          <w:sz w:val="32"/>
          <w:szCs w:val="32"/>
          <w:highlight w:val="none"/>
        </w:rPr>
        <w:t>00</w:t>
      </w:r>
      <w:r>
        <w:rPr>
          <w:rFonts w:hint="eastAsia" w:ascii="仿宋" w:hAnsi="仿宋" w:eastAsia="仿宋" w:cs="FangSong_GB2312"/>
          <w:color w:val="auto"/>
          <w:sz w:val="32"/>
          <w:szCs w:val="32"/>
          <w:highlight w:val="none"/>
        </w:rPr>
        <w:t>时</w:t>
      </w:r>
      <w:r>
        <w:rPr>
          <w:rFonts w:hint="eastAsia" w:ascii="仿宋" w:hAnsi="仿宋" w:eastAsia="仿宋" w:cs="FangSong_GB2312"/>
          <w:color w:val="auto"/>
          <w:sz w:val="32"/>
          <w:szCs w:val="32"/>
        </w:rPr>
        <w:t>（不包括法定节假日）。</w:t>
      </w:r>
    </w:p>
    <w:p>
      <w:pPr>
        <w:spacing w:line="560" w:lineRule="exact"/>
        <w:ind w:left="0" w:firstLine="645"/>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六、本次土地挂牌出让采用网上竞买申请的方式。竞买人在报名期内登录“内蒙古自治区国土资源网上交易系统”使用CA证书获取预申购资源的竞买申请书。</w:t>
      </w:r>
    </w:p>
    <w:p>
      <w:pPr>
        <w:spacing w:line="560" w:lineRule="exact"/>
        <w:ind w:left="0" w:firstLine="645"/>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CA证书的办理流程详见乌海市公共资源交易中心网站办事指南中CA办理指南。</w:t>
      </w:r>
    </w:p>
    <w:p>
      <w:pPr>
        <w:spacing w:line="560" w:lineRule="exact"/>
        <w:ind w:left="0" w:firstLine="645"/>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七、</w:t>
      </w:r>
      <w:r>
        <w:rPr>
          <w:rFonts w:hint="eastAsia" w:ascii="仿宋" w:hAnsi="仿宋" w:eastAsia="仿宋"/>
          <w:color w:val="auto"/>
          <w:sz w:val="32"/>
          <w:szCs w:val="32"/>
          <w:shd w:val="clear" w:color="auto" w:fill="FFFFFF"/>
        </w:rPr>
        <w:t>竞买保证金缴纳</w:t>
      </w:r>
    </w:p>
    <w:p>
      <w:pPr>
        <w:spacing w:line="560" w:lineRule="exact"/>
        <w:ind w:left="0" w:firstLine="645"/>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交纳竞买保证金的截止时间为</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2</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9</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27</w:t>
      </w:r>
      <w:r>
        <w:rPr>
          <w:rFonts w:hint="eastAsia" w:ascii="仿宋" w:hAnsi="仿宋" w:eastAsia="仿宋" w:cs="FangSong_GB2312"/>
          <w:color w:val="auto"/>
          <w:sz w:val="32"/>
          <w:szCs w:val="32"/>
          <w:highlight w:val="none"/>
        </w:rPr>
        <w:t>日</w:t>
      </w:r>
      <w:r>
        <w:rPr>
          <w:rFonts w:ascii="仿宋" w:hAnsi="仿宋" w:eastAsia="仿宋" w:cs="FangSong_GB2312"/>
          <w:color w:val="auto"/>
          <w:sz w:val="32"/>
          <w:szCs w:val="32"/>
          <w:highlight w:val="none"/>
        </w:rPr>
        <w:t>16</w:t>
      </w:r>
      <w:r>
        <w:rPr>
          <w:rFonts w:hint="eastAsia" w:ascii="仿宋" w:hAnsi="仿宋" w:eastAsia="仿宋" w:cs="FangSong_GB2312"/>
          <w:color w:val="auto"/>
          <w:sz w:val="32"/>
          <w:szCs w:val="32"/>
          <w:highlight w:val="none"/>
        </w:rPr>
        <w:t>：</w:t>
      </w:r>
      <w:r>
        <w:rPr>
          <w:rFonts w:ascii="仿宋" w:hAnsi="仿宋" w:eastAsia="仿宋" w:cs="FangSong_GB2312"/>
          <w:color w:val="auto"/>
          <w:sz w:val="32"/>
          <w:szCs w:val="32"/>
          <w:highlight w:val="none"/>
        </w:rPr>
        <w:t>00</w:t>
      </w:r>
      <w:r>
        <w:rPr>
          <w:rFonts w:hint="eastAsia" w:ascii="仿宋" w:hAnsi="仿宋" w:eastAsia="仿宋" w:cs="FangSong_GB2312"/>
          <w:color w:val="auto"/>
          <w:sz w:val="32"/>
          <w:szCs w:val="32"/>
          <w:highlight w:val="none"/>
        </w:rPr>
        <w:t>时。</w:t>
      </w:r>
    </w:p>
    <w:p>
      <w:pPr>
        <w:spacing w:line="560" w:lineRule="exact"/>
        <w:ind w:left="0" w:firstLine="640" w:firstLineChars="200"/>
        <w:textAlignment w:val="baseline"/>
        <w:rPr>
          <w:rFonts w:ascii="仿宋" w:hAnsi="仿宋" w:eastAsia="仿宋"/>
          <w:color w:val="auto"/>
          <w:sz w:val="32"/>
          <w:szCs w:val="32"/>
        </w:rPr>
      </w:pPr>
      <w:r>
        <w:rPr>
          <w:rFonts w:hint="eastAsia" w:ascii="仿宋" w:hAnsi="仿宋" w:eastAsia="仿宋" w:cs="FangSong_GB2312"/>
          <w:color w:val="auto"/>
          <w:sz w:val="32"/>
          <w:szCs w:val="32"/>
        </w:rPr>
        <w:t>八、确定竞得人的标准和方法</w:t>
      </w:r>
    </w:p>
    <w:p>
      <w:pPr>
        <w:spacing w:line="560" w:lineRule="exact"/>
        <w:ind w:left="0" w:firstLine="640" w:firstLineChars="200"/>
        <w:textAlignment w:val="baseline"/>
        <w:rPr>
          <w:rFonts w:ascii="仿宋" w:hAnsi="仿宋" w:eastAsia="仿宋" w:cs="FangSong_GB2312"/>
          <w:bCs/>
          <w:color w:val="auto"/>
          <w:sz w:val="32"/>
          <w:szCs w:val="32"/>
        </w:rPr>
      </w:pPr>
      <w:r>
        <w:rPr>
          <w:rFonts w:hint="eastAsia" w:ascii="仿宋" w:hAnsi="仿宋" w:eastAsia="仿宋" w:cs="FangSong_GB2312"/>
          <w:color w:val="auto"/>
          <w:sz w:val="32"/>
          <w:szCs w:val="32"/>
        </w:rPr>
        <w:t>1、申请人按规定交纳竞买保证金，保证金到账后，内蒙古自治区国土资源网上交易系统自动确定该竞买人的竞买资格，签发相应宗地的《竞买资格确认书》</w:t>
      </w:r>
      <w:r>
        <w:rPr>
          <w:rFonts w:ascii="仿宋" w:hAnsi="仿宋" w:eastAsia="仿宋" w:cs="FangSong_GB2312"/>
          <w:bCs/>
          <w:color w:val="auto"/>
          <w:sz w:val="32"/>
          <w:szCs w:val="32"/>
        </w:rPr>
        <w:t>（以资金划入指定账户为准）</w:t>
      </w:r>
      <w:r>
        <w:rPr>
          <w:rFonts w:hint="eastAsia" w:ascii="仿宋" w:hAnsi="仿宋" w:eastAsia="仿宋" w:cs="FangSong_GB2312"/>
          <w:bCs/>
          <w:color w:val="auto"/>
          <w:sz w:val="32"/>
          <w:szCs w:val="32"/>
        </w:rPr>
        <w:t>。</w:t>
      </w:r>
    </w:p>
    <w:p>
      <w:pPr>
        <w:spacing w:line="560" w:lineRule="exact"/>
        <w:ind w:left="0" w:firstLine="640" w:firstLineChars="200"/>
        <w:textAlignment w:val="baseline"/>
        <w:rPr>
          <w:rFonts w:ascii="仿宋" w:hAnsi="仿宋" w:eastAsia="仿宋" w:cs="FangSong_GB2312"/>
          <w:color w:val="auto"/>
          <w:sz w:val="32"/>
          <w:szCs w:val="32"/>
        </w:rPr>
      </w:pPr>
      <w:r>
        <w:rPr>
          <w:rFonts w:hint="eastAsia" w:ascii="仿宋" w:hAnsi="仿宋" w:eastAsia="仿宋"/>
          <w:color w:val="auto"/>
          <w:sz w:val="32"/>
          <w:szCs w:val="32"/>
          <w:shd w:val="clear" w:color="auto" w:fill="FFFFFF"/>
        </w:rPr>
        <w:t>2、取得《竞买资格确认书》的竞买人，在网上挂牌期限内，可通过CA证书登录系统后进行有效报价</w:t>
      </w:r>
      <w:r>
        <w:rPr>
          <w:rFonts w:hint="eastAsia" w:ascii="仿宋" w:hAnsi="仿宋" w:eastAsia="仿宋"/>
          <w:color w:val="FF0000"/>
          <w:sz w:val="32"/>
          <w:szCs w:val="32"/>
          <w:shd w:val="clear" w:color="auto" w:fill="FFFFFF"/>
          <w:lang w:eastAsia="zh-CN"/>
        </w:rPr>
        <w:t>（</w:t>
      </w:r>
      <w:r>
        <w:rPr>
          <w:rFonts w:hint="eastAsia" w:ascii="仿宋" w:hAnsi="仿宋" w:eastAsia="仿宋"/>
          <w:color w:val="FF0000"/>
          <w:sz w:val="32"/>
          <w:szCs w:val="32"/>
          <w:shd w:val="clear" w:color="auto" w:fill="FFFFFF"/>
          <w:lang w:val="en-US" w:eastAsia="zh-CN"/>
        </w:rPr>
        <w:t>提示：竞买人报价后可以刷新页面确定报价是否成功，请不要连续点击报价按钮，避免重复报价）</w:t>
      </w:r>
      <w:r>
        <w:rPr>
          <w:rFonts w:hint="eastAsia" w:ascii="仿宋" w:hAnsi="仿宋" w:eastAsia="仿宋"/>
          <w:color w:val="auto"/>
          <w:sz w:val="32"/>
          <w:szCs w:val="32"/>
          <w:shd w:val="clear" w:color="auto" w:fill="FFFFFF"/>
        </w:rPr>
        <w:t>，</w:t>
      </w:r>
      <w:r>
        <w:rPr>
          <w:rFonts w:hint="eastAsia" w:ascii="仿宋" w:hAnsi="仿宋" w:eastAsia="仿宋" w:cs="FangSong_GB2312"/>
          <w:color w:val="auto"/>
          <w:sz w:val="32"/>
          <w:szCs w:val="32"/>
        </w:rPr>
        <w:t>网上挂牌期限截止时，如果</w:t>
      </w:r>
      <w:r>
        <w:rPr>
          <w:rFonts w:hint="eastAsia" w:ascii="仿宋" w:hAnsi="仿宋" w:eastAsia="仿宋"/>
          <w:color w:val="auto"/>
          <w:sz w:val="32"/>
          <w:szCs w:val="32"/>
        </w:rPr>
        <w:t>只有一个竞买人报价：设有底价的资源，交易系统判定报价是否低于底价,高于底价且符合其他条件的确定其为预竞得人;低于底价的,挂牌不成交。不设置底价的系统直接确定其为预竞得人。</w:t>
      </w:r>
    </w:p>
    <w:p>
      <w:pPr>
        <w:spacing w:line="560" w:lineRule="exact"/>
        <w:ind w:left="0" w:firstLine="640" w:firstLineChars="200"/>
        <w:textAlignment w:val="baseline"/>
        <w:rPr>
          <w:rFonts w:ascii="仿宋" w:hAnsi="仿宋" w:eastAsia="仿宋"/>
          <w:color w:val="auto"/>
          <w:sz w:val="32"/>
          <w:szCs w:val="32"/>
          <w:shd w:val="clear" w:color="auto" w:fill="FFFFFF"/>
        </w:rPr>
      </w:pPr>
      <w:r>
        <w:rPr>
          <w:rFonts w:hint="eastAsia" w:ascii="仿宋" w:hAnsi="仿宋" w:eastAsia="仿宋" w:cs="FangSong_GB2312"/>
          <w:color w:val="auto"/>
          <w:sz w:val="32"/>
          <w:szCs w:val="32"/>
        </w:rPr>
        <w:t>3、网上挂牌期限截止时，如果有两个以上（含两个）的竞买人报价的，网上挂牌报价时间截止，进入3分钟询问期，询问有资格的竞买人是否参与后续的限时竞价。限时竞价以4分钟为单位，在4分钟内，有任一竞买人提交新的报价，时间重新计时4分钟，直至无竞买人再出价，系统确定成交结果，出价最高且不低于底价的有效报价人为预竞得人。低于底价的，资源不成交。不设置底价的系统直接确定最高报价者为预竞得人。</w:t>
      </w:r>
    </w:p>
    <w:p>
      <w:pPr>
        <w:spacing w:line="560" w:lineRule="exact"/>
        <w:ind w:left="0" w:firstLine="640" w:firstLineChars="200"/>
        <w:textAlignment w:val="baseline"/>
        <w:rPr>
          <w:rFonts w:ascii="仿宋" w:hAnsi="仿宋" w:eastAsia="仿宋" w:cs="FangSong_GB2312"/>
          <w:b/>
          <w:color w:val="auto"/>
          <w:sz w:val="32"/>
          <w:szCs w:val="32"/>
        </w:rPr>
      </w:pPr>
      <w:r>
        <w:rPr>
          <w:rFonts w:hint="eastAsia" w:ascii="仿宋" w:hAnsi="仿宋" w:eastAsia="仿宋"/>
          <w:color w:val="auto"/>
          <w:sz w:val="32"/>
          <w:szCs w:val="32"/>
          <w:shd w:val="clear" w:color="auto" w:fill="FFFFFF"/>
        </w:rPr>
        <w:t>4、</w:t>
      </w:r>
      <w:r>
        <w:rPr>
          <w:rFonts w:hint="eastAsia" w:ascii="仿宋" w:hAnsi="仿宋" w:eastAsia="仿宋"/>
          <w:color w:val="auto"/>
          <w:sz w:val="32"/>
          <w:szCs w:val="32"/>
        </w:rPr>
        <w:t>网上挂牌期限截止时，无人报价的，挂牌结束，资源不成交。</w:t>
      </w:r>
    </w:p>
    <w:p>
      <w:pPr>
        <w:autoSpaceDE w:val="0"/>
        <w:spacing w:line="560" w:lineRule="exact"/>
        <w:ind w:firstLine="640" w:firstLineChars="200"/>
        <w:jc w:val="left"/>
        <w:rPr>
          <w:rFonts w:ascii="仿宋" w:hAnsi="仿宋" w:eastAsia="仿宋"/>
          <w:color w:val="auto"/>
          <w:sz w:val="32"/>
          <w:szCs w:val="32"/>
        </w:rPr>
      </w:pPr>
      <w:r>
        <w:rPr>
          <w:rFonts w:hint="eastAsia" w:ascii="仿宋" w:hAnsi="仿宋" w:eastAsia="仿宋" w:cs="FangSong_GB2312"/>
          <w:color w:val="auto"/>
          <w:sz w:val="32"/>
          <w:szCs w:val="32"/>
        </w:rPr>
        <w:t>九、查询网址：</w:t>
      </w:r>
    </w:p>
    <w:p>
      <w:pPr>
        <w:autoSpaceDE w:val="0"/>
        <w:spacing w:line="560" w:lineRule="exact"/>
        <w:ind w:firstLine="640" w:firstLineChars="200"/>
        <w:jc w:val="left"/>
        <w:rPr>
          <w:rFonts w:ascii="仿宋" w:hAnsi="仿宋" w:eastAsia="仿宋" w:cs="FangSong_GB2312"/>
          <w:color w:val="auto"/>
          <w:sz w:val="32"/>
          <w:szCs w:val="32"/>
        </w:rPr>
      </w:pPr>
      <w:r>
        <w:rPr>
          <w:rFonts w:hint="eastAsia" w:ascii="仿宋" w:hAnsi="仿宋" w:eastAsia="仿宋" w:cs="FangSong_GB2312"/>
          <w:color w:val="auto"/>
          <w:sz w:val="32"/>
          <w:szCs w:val="32"/>
        </w:rPr>
        <w:t>中国土地市场网</w:t>
      </w:r>
      <w:r>
        <w:rPr>
          <w:rFonts w:ascii="仿宋" w:hAnsi="仿宋" w:eastAsia="仿宋" w:cs="FangSong_GB2312"/>
          <w:color w:val="auto"/>
          <w:sz w:val="32"/>
          <w:szCs w:val="32"/>
        </w:rPr>
        <w:t xml:space="preserve"> (http://www.landchina.com)</w:t>
      </w:r>
    </w:p>
    <w:p>
      <w:pPr>
        <w:autoSpaceDE w:val="0"/>
        <w:spacing w:line="560" w:lineRule="exact"/>
        <w:ind w:firstLine="640" w:firstLineChars="200"/>
        <w:jc w:val="left"/>
        <w:rPr>
          <w:rFonts w:ascii="仿宋" w:hAnsi="仿宋" w:eastAsia="仿宋" w:cs="FangSong_GB2312"/>
          <w:color w:val="auto"/>
          <w:sz w:val="32"/>
          <w:szCs w:val="32"/>
        </w:rPr>
      </w:pPr>
      <w:r>
        <w:rPr>
          <w:rFonts w:hint="eastAsia" w:ascii="仿宋" w:hAnsi="仿宋" w:eastAsia="仿宋" w:cs="FangSong_GB2312"/>
          <w:color w:val="auto"/>
          <w:sz w:val="32"/>
          <w:szCs w:val="32"/>
        </w:rPr>
        <w:t>乌海市自然资源局（</w:t>
      </w:r>
      <w:r>
        <w:rPr>
          <w:rFonts w:ascii="仿宋" w:hAnsi="仿宋" w:eastAsia="仿宋" w:cs="FangSong_GB2312"/>
          <w:color w:val="auto"/>
          <w:sz w:val="32"/>
          <w:szCs w:val="32"/>
        </w:rPr>
        <w:t>http://zrzy.wuhai.gov.cn/)</w:t>
      </w:r>
    </w:p>
    <w:p>
      <w:pPr>
        <w:autoSpaceDE w:val="0"/>
        <w:spacing w:line="560" w:lineRule="exact"/>
        <w:ind w:left="0" w:firstLine="640" w:firstLineChars="200"/>
        <w:jc w:val="left"/>
        <w:rPr>
          <w:rFonts w:ascii="仿宋" w:hAnsi="仿宋" w:eastAsia="仿宋" w:cs="FangSong_GB2312"/>
          <w:color w:val="auto"/>
          <w:sz w:val="32"/>
          <w:szCs w:val="32"/>
        </w:rPr>
      </w:pPr>
      <w:r>
        <w:rPr>
          <w:rFonts w:hint="eastAsia" w:ascii="仿宋" w:hAnsi="仿宋" w:eastAsia="仿宋" w:cs="FangSong_GB2312"/>
          <w:color w:val="auto"/>
          <w:sz w:val="32"/>
          <w:szCs w:val="32"/>
        </w:rPr>
        <w:t>乌海市公共资源交易中心（</w:t>
      </w:r>
      <w:r>
        <w:rPr>
          <w:color w:val="auto"/>
        </w:rPr>
        <w:fldChar w:fldCharType="begin"/>
      </w:r>
      <w:r>
        <w:rPr>
          <w:color w:val="auto"/>
        </w:rPr>
        <w:instrText xml:space="preserve"> HYPERLINK "http://www.whggzy.com" </w:instrText>
      </w:r>
      <w:r>
        <w:rPr>
          <w:color w:val="auto"/>
        </w:rPr>
        <w:fldChar w:fldCharType="separate"/>
      </w:r>
      <w:r>
        <w:rPr>
          <w:rStyle w:val="19"/>
          <w:rFonts w:ascii="仿宋" w:hAnsi="仿宋" w:eastAsia="仿宋" w:cs="FangSong_GB2312"/>
          <w:color w:val="auto"/>
          <w:sz w:val="32"/>
          <w:szCs w:val="32"/>
          <w:u w:val="none"/>
        </w:rPr>
        <w:t>http://www.whggzy.com</w:t>
      </w:r>
      <w:r>
        <w:rPr>
          <w:rStyle w:val="19"/>
          <w:rFonts w:ascii="仿宋" w:hAnsi="仿宋" w:eastAsia="仿宋" w:cs="FangSong_GB2312"/>
          <w:color w:val="auto"/>
          <w:sz w:val="32"/>
          <w:szCs w:val="32"/>
          <w:u w:val="none"/>
        </w:rPr>
        <w:fldChar w:fldCharType="end"/>
      </w:r>
      <w:r>
        <w:rPr>
          <w:rFonts w:hint="eastAsia" w:ascii="仿宋" w:hAnsi="仿宋" w:eastAsia="仿宋" w:cs="FangSong_GB2312"/>
          <w:color w:val="auto"/>
          <w:sz w:val="32"/>
          <w:szCs w:val="32"/>
        </w:rPr>
        <w:t>）</w:t>
      </w:r>
    </w:p>
    <w:p>
      <w:pPr>
        <w:autoSpaceDE w:val="0"/>
        <w:spacing w:line="560" w:lineRule="exact"/>
        <w:ind w:left="0" w:firstLine="640" w:firstLineChars="200"/>
        <w:jc w:val="left"/>
        <w:rPr>
          <w:rFonts w:ascii="仿宋" w:hAnsi="仿宋" w:eastAsia="仿宋" w:cs="FangSong_GB2312"/>
          <w:color w:val="auto"/>
          <w:sz w:val="32"/>
          <w:szCs w:val="32"/>
        </w:rPr>
      </w:pPr>
      <w:r>
        <w:rPr>
          <w:rFonts w:hint="eastAsia" w:ascii="仿宋" w:hAnsi="仿宋" w:eastAsia="仿宋" w:cs="FangSong_GB2312"/>
          <w:color w:val="auto"/>
          <w:sz w:val="32"/>
          <w:szCs w:val="32"/>
        </w:rPr>
        <w:t>内蒙古自治区公共资源交易网(</w:t>
      </w:r>
      <w:r>
        <w:rPr>
          <w:color w:val="auto"/>
        </w:rPr>
        <w:fldChar w:fldCharType="begin"/>
      </w:r>
      <w:r>
        <w:rPr>
          <w:color w:val="auto"/>
        </w:rPr>
        <w:instrText xml:space="preserve"> HYPERLINK "http://ggzyjy.nmg.gov.cn/" </w:instrText>
      </w:r>
      <w:r>
        <w:rPr>
          <w:color w:val="auto"/>
        </w:rPr>
        <w:fldChar w:fldCharType="separate"/>
      </w:r>
      <w:r>
        <w:rPr>
          <w:rStyle w:val="19"/>
          <w:rFonts w:ascii="仿宋" w:hAnsi="仿宋" w:eastAsia="仿宋" w:cs="FangSong_GB2312"/>
          <w:color w:val="auto"/>
          <w:sz w:val="32"/>
          <w:szCs w:val="32"/>
          <w:u w:val="none"/>
        </w:rPr>
        <w:t>http://ggzyjy.nmg.gov.cn/</w:t>
      </w:r>
      <w:r>
        <w:rPr>
          <w:rStyle w:val="19"/>
          <w:rFonts w:ascii="仿宋" w:hAnsi="仿宋" w:eastAsia="仿宋" w:cs="FangSong_GB2312"/>
          <w:color w:val="auto"/>
          <w:sz w:val="32"/>
          <w:szCs w:val="32"/>
          <w:u w:val="none"/>
        </w:rPr>
        <w:fldChar w:fldCharType="end"/>
      </w:r>
      <w:r>
        <w:rPr>
          <w:rFonts w:hint="eastAsia" w:ascii="仿宋" w:hAnsi="仿宋" w:eastAsia="仿宋" w:cs="FangSong_GB2312"/>
          <w:color w:val="auto"/>
          <w:sz w:val="32"/>
          <w:szCs w:val="32"/>
        </w:rPr>
        <w:t>)</w:t>
      </w:r>
    </w:p>
    <w:p>
      <w:pPr>
        <w:autoSpaceDE w:val="0"/>
        <w:spacing w:line="560" w:lineRule="exact"/>
        <w:ind w:left="479" w:leftChars="228" w:firstLine="160" w:firstLineChars="50"/>
        <w:jc w:val="left"/>
        <w:rPr>
          <w:rFonts w:ascii="仿宋" w:hAnsi="仿宋" w:eastAsia="仿宋"/>
          <w:color w:val="auto"/>
          <w:sz w:val="32"/>
          <w:szCs w:val="32"/>
        </w:rPr>
      </w:pPr>
      <w:r>
        <w:rPr>
          <w:rFonts w:hint="eastAsia" w:ascii="仿宋" w:hAnsi="仿宋" w:eastAsia="仿宋" w:cs="FangSong_GB2312"/>
          <w:color w:val="auto"/>
          <w:sz w:val="32"/>
          <w:szCs w:val="32"/>
        </w:rPr>
        <w:t>内蒙古自治区自然资源网上交易系统（</w:t>
      </w:r>
      <w:r>
        <w:rPr>
          <w:rFonts w:ascii="仿宋" w:hAnsi="仿宋" w:eastAsia="仿宋" w:cs="FangSong_GB2312"/>
          <w:color w:val="auto"/>
          <w:sz w:val="32"/>
          <w:szCs w:val="32"/>
        </w:rPr>
        <w:t>http://110.16.70.81:8090/trade-engine/trade/index</w:t>
      </w:r>
      <w:r>
        <w:rPr>
          <w:rFonts w:hint="eastAsia" w:ascii="仿宋" w:hAnsi="仿宋" w:eastAsia="仿宋" w:cs="FangSong_GB2312"/>
          <w:color w:val="auto"/>
          <w:sz w:val="32"/>
          <w:szCs w:val="32"/>
        </w:rPr>
        <w:t>）</w:t>
      </w:r>
    </w:p>
    <w:p>
      <w:pPr>
        <w:spacing w:line="560" w:lineRule="exact"/>
        <w:ind w:left="0" w:firstLine="640" w:firstLineChars="200"/>
        <w:jc w:val="left"/>
        <w:textAlignment w:val="baseline"/>
        <w:rPr>
          <w:rFonts w:ascii="仿宋" w:hAnsi="仿宋" w:eastAsia="仿宋"/>
          <w:color w:val="auto"/>
          <w:sz w:val="32"/>
          <w:szCs w:val="32"/>
        </w:rPr>
      </w:pPr>
      <w:r>
        <w:rPr>
          <w:rFonts w:hint="eastAsia" w:ascii="仿宋" w:hAnsi="仿宋" w:eastAsia="仿宋" w:cs="FangSong_GB2312"/>
          <w:color w:val="auto"/>
          <w:sz w:val="32"/>
          <w:szCs w:val="32"/>
        </w:rPr>
        <w:t>十、乌海市公共资源交易中心联系人：</w:t>
      </w:r>
      <w:r>
        <w:rPr>
          <w:rFonts w:hint="eastAsia" w:ascii="仿宋" w:hAnsi="仿宋" w:eastAsia="仿宋"/>
          <w:color w:val="auto"/>
          <w:sz w:val="32"/>
          <w:szCs w:val="32"/>
        </w:rPr>
        <w:t xml:space="preserve">王工   张工 </w:t>
      </w:r>
    </w:p>
    <w:p>
      <w:pPr>
        <w:spacing w:line="560" w:lineRule="exact"/>
        <w:ind w:left="6380" w:leftChars="600" w:hanging="5120" w:hangingChars="1600"/>
        <w:jc w:val="left"/>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乌海市公共资源交易中心联系电话：0473-2999715  0473-2999760</w:t>
      </w:r>
    </w:p>
    <w:p>
      <w:pPr>
        <w:spacing w:line="560" w:lineRule="exact"/>
        <w:ind w:firstLine="1280" w:firstLineChars="400"/>
        <w:jc w:val="left"/>
        <w:textAlignment w:val="baseline"/>
        <w:rPr>
          <w:rFonts w:ascii="仿宋" w:hAnsi="仿宋" w:eastAsia="仿宋"/>
          <w:color w:val="auto"/>
          <w:sz w:val="32"/>
          <w:szCs w:val="32"/>
        </w:rPr>
      </w:pPr>
      <w:r>
        <w:rPr>
          <w:rFonts w:hint="eastAsia" w:ascii="仿宋" w:hAnsi="仿宋" w:eastAsia="仿宋"/>
          <w:color w:val="auto"/>
          <w:sz w:val="32"/>
          <w:szCs w:val="32"/>
        </w:rPr>
        <w:t>乌海市自然资源局海勃湾分局联系人:李桂美</w:t>
      </w:r>
    </w:p>
    <w:p>
      <w:pPr>
        <w:spacing w:line="560" w:lineRule="exact"/>
        <w:ind w:firstLine="1280" w:firstLineChars="400"/>
        <w:jc w:val="left"/>
        <w:textAlignment w:val="baseline"/>
        <w:rPr>
          <w:rStyle w:val="17"/>
          <w:rFonts w:ascii="仿宋" w:hAnsi="仿宋" w:eastAsia="仿宋"/>
          <w:b w:val="0"/>
          <w:color w:val="auto"/>
          <w:sz w:val="32"/>
          <w:szCs w:val="32"/>
        </w:rPr>
      </w:pPr>
      <w:r>
        <w:rPr>
          <w:rFonts w:hint="eastAsia" w:ascii="仿宋" w:hAnsi="仿宋" w:eastAsia="仿宋"/>
          <w:color w:val="auto"/>
          <w:sz w:val="32"/>
          <w:szCs w:val="32"/>
        </w:rPr>
        <w:t>乌海市自然资源局海勃湾分局联系电话:0473-6995512</w:t>
      </w:r>
    </w:p>
    <w:p>
      <w:pPr>
        <w:spacing w:line="560" w:lineRule="exact"/>
        <w:ind w:firstLine="1280" w:firstLineChars="400"/>
        <w:jc w:val="right"/>
        <w:textAlignment w:val="baseline"/>
        <w:rPr>
          <w:rFonts w:ascii="仿宋" w:hAnsi="仿宋" w:eastAsia="仿宋"/>
          <w:color w:val="auto"/>
          <w:sz w:val="32"/>
          <w:szCs w:val="32"/>
        </w:rPr>
      </w:pPr>
    </w:p>
    <w:p>
      <w:pPr>
        <w:spacing w:line="560" w:lineRule="exact"/>
        <w:ind w:firstLine="1280" w:firstLineChars="400"/>
        <w:jc w:val="right"/>
        <w:textAlignment w:val="baseline"/>
        <w:rPr>
          <w:rFonts w:ascii="仿宋" w:hAnsi="仿宋" w:eastAsia="仿宋"/>
          <w:color w:val="auto"/>
          <w:sz w:val="32"/>
          <w:szCs w:val="32"/>
          <w:highlight w:val="none"/>
        </w:rPr>
      </w:pPr>
      <w:r>
        <w:rPr>
          <w:rFonts w:hint="eastAsia" w:ascii="仿宋" w:hAnsi="仿宋" w:eastAsia="仿宋"/>
          <w:color w:val="auto"/>
          <w:sz w:val="32"/>
          <w:szCs w:val="32"/>
        </w:rPr>
        <w:t>乌海</w:t>
      </w:r>
      <w:r>
        <w:rPr>
          <w:rFonts w:hint="eastAsia" w:ascii="仿宋" w:hAnsi="仿宋" w:eastAsia="仿宋"/>
          <w:color w:val="auto"/>
          <w:sz w:val="32"/>
          <w:szCs w:val="32"/>
          <w:highlight w:val="none"/>
        </w:rPr>
        <w:t>市公共资源交易中心</w:t>
      </w:r>
    </w:p>
    <w:p>
      <w:pPr>
        <w:spacing w:line="560" w:lineRule="exact"/>
        <w:ind w:firstLine="1280" w:firstLineChars="400"/>
        <w:jc w:val="right"/>
        <w:textAlignment w:val="baseline"/>
        <w:rPr>
          <w:rFonts w:ascii="仿宋" w:hAnsi="仿宋" w:eastAsia="仿宋"/>
          <w:color w:val="auto"/>
          <w:sz w:val="32"/>
          <w:szCs w:val="32"/>
          <w:highlight w:val="yellow"/>
        </w:rPr>
      </w:pPr>
      <w:r>
        <w:rPr>
          <w:rFonts w:hint="eastAsia" w:ascii="仿宋" w:hAnsi="仿宋" w:eastAsia="仿宋"/>
          <w:color w:val="auto"/>
          <w:sz w:val="32"/>
          <w:szCs w:val="32"/>
          <w:highlight w:val="none"/>
        </w:rPr>
        <w:t xml:space="preserve">                               202</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8</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29</w:t>
      </w:r>
      <w:r>
        <w:rPr>
          <w:rFonts w:hint="eastAsia" w:ascii="仿宋" w:hAnsi="仿宋" w:eastAsia="仿宋"/>
          <w:color w:val="auto"/>
          <w:sz w:val="32"/>
          <w:szCs w:val="32"/>
          <w:highlight w:val="none"/>
        </w:rPr>
        <w:t xml:space="preserve">日 </w:t>
      </w:r>
    </w:p>
    <w:p>
      <w:pPr>
        <w:spacing w:line="538" w:lineRule="exact"/>
        <w:ind w:left="0" w:firstLine="0"/>
        <w:jc w:val="center"/>
        <w:textAlignment w:val="baseline"/>
        <w:rPr>
          <w:rFonts w:ascii="方正小标宋简体" w:hAnsi="仿宋" w:eastAsia="方正小标宋简体" w:cs="方正小标宋简体"/>
          <w:color w:val="auto"/>
          <w:sz w:val="44"/>
          <w:szCs w:val="44"/>
        </w:rPr>
      </w:pPr>
    </w:p>
    <w:p>
      <w:pPr>
        <w:spacing w:line="538" w:lineRule="exact"/>
        <w:ind w:left="0" w:firstLine="0"/>
        <w:jc w:val="center"/>
        <w:textAlignment w:val="baseline"/>
        <w:rPr>
          <w:rFonts w:ascii="方正小标宋简体" w:hAnsi="仿宋" w:eastAsia="方正小标宋简体" w:cs="方正小标宋简体"/>
          <w:color w:val="auto"/>
          <w:sz w:val="44"/>
          <w:szCs w:val="44"/>
        </w:rPr>
      </w:pPr>
    </w:p>
    <w:p>
      <w:pPr>
        <w:spacing w:line="538" w:lineRule="exact"/>
        <w:ind w:left="0" w:firstLine="0"/>
        <w:jc w:val="center"/>
        <w:textAlignment w:val="baseline"/>
        <w:rPr>
          <w:rFonts w:ascii="方正小标宋简体" w:hAnsi="仿宋" w:eastAsia="方正小标宋简体" w:cs="方正小标宋简体"/>
          <w:color w:val="auto"/>
          <w:sz w:val="44"/>
          <w:szCs w:val="44"/>
        </w:rPr>
      </w:pPr>
    </w:p>
    <w:p>
      <w:pPr>
        <w:spacing w:line="538" w:lineRule="exact"/>
        <w:ind w:left="0" w:firstLine="0"/>
        <w:jc w:val="center"/>
        <w:textAlignment w:val="baseline"/>
        <w:rPr>
          <w:rFonts w:ascii="方正小标宋简体" w:hAnsi="仿宋" w:eastAsia="方正小标宋简体" w:cs="方正小标宋简体"/>
          <w:color w:val="auto"/>
          <w:sz w:val="44"/>
          <w:szCs w:val="44"/>
        </w:rPr>
      </w:pPr>
    </w:p>
    <w:p>
      <w:pPr>
        <w:spacing w:line="538" w:lineRule="exact"/>
        <w:ind w:left="0" w:firstLine="0"/>
        <w:jc w:val="center"/>
        <w:textAlignment w:val="baseline"/>
        <w:rPr>
          <w:rFonts w:ascii="方正小标宋简体" w:hAnsi="仿宋" w:eastAsia="方正小标宋简体" w:cs="方正小标宋简体"/>
          <w:color w:val="auto"/>
          <w:sz w:val="44"/>
          <w:szCs w:val="44"/>
        </w:rPr>
      </w:pPr>
    </w:p>
    <w:p>
      <w:pPr>
        <w:spacing w:line="538" w:lineRule="exact"/>
        <w:ind w:left="0" w:firstLine="0"/>
        <w:jc w:val="center"/>
        <w:textAlignment w:val="baseline"/>
        <w:rPr>
          <w:rFonts w:ascii="方正小标宋简体" w:hAnsi="仿宋" w:eastAsia="方正小标宋简体" w:cs="方正小标宋简体"/>
          <w:color w:val="auto"/>
          <w:sz w:val="44"/>
          <w:szCs w:val="44"/>
        </w:rPr>
      </w:pPr>
    </w:p>
    <w:p>
      <w:pPr>
        <w:spacing w:line="538" w:lineRule="exact"/>
        <w:ind w:left="0" w:firstLine="0"/>
        <w:jc w:val="center"/>
        <w:textAlignment w:val="baseline"/>
        <w:rPr>
          <w:rFonts w:ascii="方正小标宋简体" w:hAnsi="仿宋" w:eastAsia="方正小标宋简体" w:cs="方正小标宋简体"/>
          <w:color w:val="auto"/>
          <w:sz w:val="44"/>
          <w:szCs w:val="44"/>
        </w:rPr>
      </w:pPr>
    </w:p>
    <w:p>
      <w:pPr>
        <w:spacing w:line="538" w:lineRule="exact"/>
        <w:ind w:left="0" w:firstLine="0"/>
        <w:jc w:val="center"/>
        <w:textAlignment w:val="baseline"/>
        <w:rPr>
          <w:rFonts w:ascii="方正小标宋简体" w:hAnsi="仿宋" w:eastAsia="方正小标宋简体" w:cs="方正小标宋简体"/>
          <w:color w:val="auto"/>
          <w:sz w:val="44"/>
          <w:szCs w:val="44"/>
        </w:rPr>
      </w:pPr>
    </w:p>
    <w:p>
      <w:pPr>
        <w:spacing w:line="538" w:lineRule="exact"/>
        <w:ind w:left="0" w:firstLine="0"/>
        <w:jc w:val="center"/>
        <w:textAlignment w:val="baseline"/>
        <w:rPr>
          <w:rFonts w:hint="eastAsia" w:asciiTheme="minorEastAsia" w:hAnsiTheme="minorEastAsia" w:eastAsiaTheme="minorEastAsia" w:cstheme="minorEastAsia"/>
          <w:b/>
          <w:bCs/>
          <w:color w:val="auto"/>
          <w:sz w:val="44"/>
          <w:szCs w:val="44"/>
        </w:rPr>
      </w:pPr>
      <w:bookmarkStart w:id="0" w:name="_GoBack"/>
      <w:r>
        <w:rPr>
          <w:rFonts w:hint="eastAsia" w:asciiTheme="minorEastAsia" w:hAnsiTheme="minorEastAsia" w:eastAsiaTheme="minorEastAsia" w:cstheme="minorEastAsia"/>
          <w:b/>
          <w:bCs/>
          <w:color w:val="auto"/>
          <w:sz w:val="44"/>
          <w:szCs w:val="44"/>
        </w:rPr>
        <w:t>乌海市国有建设用地使用权挂牌出让须知</w:t>
      </w:r>
    </w:p>
    <w:p>
      <w:pPr>
        <w:tabs>
          <w:tab w:val="left" w:pos="4400"/>
          <w:tab w:val="left" w:pos="4600"/>
        </w:tabs>
        <w:spacing w:line="540" w:lineRule="exact"/>
        <w:ind w:left="0" w:firstLine="640" w:firstLineChars="200"/>
        <w:rPr>
          <w:rFonts w:asciiTheme="minorEastAsia" w:hAnsiTheme="minorEastAsia" w:eastAsiaTheme="minorEastAsia"/>
          <w:color w:val="auto"/>
          <w:sz w:val="32"/>
          <w:szCs w:val="32"/>
        </w:rPr>
      </w:pPr>
    </w:p>
    <w:p>
      <w:pPr>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根据《中华人民共和国土地管理法》、《中华人民共和国城市房地产管理法》、《中华人民共和国城镇国有土地使用权出让和转让暂行条例》、《招标拍卖挂牌出让国有建设用地使用权规定》以及《招标拍卖挂牌出让国有土地使用权规范》等有关规定，经乌海市</w:t>
      </w:r>
      <w:r>
        <w:rPr>
          <w:rFonts w:hint="eastAsia" w:ascii="仿宋" w:hAnsi="仿宋" w:eastAsia="仿宋"/>
          <w:color w:val="auto"/>
          <w:sz w:val="32"/>
          <w:szCs w:val="32"/>
          <w:lang w:val="en-US" w:eastAsia="zh-CN"/>
        </w:rPr>
        <w:t>海勃湾</w:t>
      </w:r>
      <w:r>
        <w:rPr>
          <w:rFonts w:hint="eastAsia" w:ascii="仿宋" w:hAnsi="仿宋" w:eastAsia="仿宋"/>
          <w:color w:val="auto"/>
          <w:sz w:val="32"/>
          <w:szCs w:val="32"/>
        </w:rPr>
        <w:t>区人民政府批准，乌海市自然资源局</w:t>
      </w:r>
      <w:r>
        <w:rPr>
          <w:rFonts w:hint="eastAsia" w:ascii="仿宋" w:hAnsi="仿宋" w:eastAsia="仿宋"/>
          <w:color w:val="auto"/>
          <w:sz w:val="32"/>
          <w:szCs w:val="32"/>
          <w:lang w:val="en-US" w:eastAsia="zh-CN"/>
        </w:rPr>
        <w:t>海勃湾</w:t>
      </w:r>
      <w:r>
        <w:rPr>
          <w:rFonts w:hint="eastAsia" w:ascii="仿宋" w:hAnsi="仿宋" w:eastAsia="仿宋"/>
          <w:color w:val="auto"/>
          <w:sz w:val="32"/>
          <w:szCs w:val="32"/>
        </w:rPr>
        <w:t>分局以挂牌方式出让</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宗地块的国有建设用地使用权。</w:t>
      </w:r>
    </w:p>
    <w:p>
      <w:pPr>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一、本次国有建设用地使用权挂牌出让的出让人为乌海市自然资源局</w:t>
      </w:r>
      <w:r>
        <w:rPr>
          <w:rFonts w:hint="eastAsia" w:ascii="仿宋" w:hAnsi="仿宋" w:eastAsia="仿宋"/>
          <w:color w:val="auto"/>
          <w:sz w:val="32"/>
          <w:szCs w:val="32"/>
          <w:lang w:val="en-US" w:eastAsia="zh-CN"/>
        </w:rPr>
        <w:t>海勃湾</w:t>
      </w:r>
      <w:r>
        <w:rPr>
          <w:rFonts w:hint="eastAsia" w:ascii="仿宋" w:hAnsi="仿宋" w:eastAsia="仿宋"/>
          <w:color w:val="auto"/>
          <w:sz w:val="32"/>
          <w:szCs w:val="32"/>
        </w:rPr>
        <w:t>分局，具体组织实施由乌海市公共资源交易中心负责。</w:t>
      </w:r>
    </w:p>
    <w:p>
      <w:pPr>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二、本次国有建设用地使用权挂牌出让遵循公开、公平、公正和诚实信用的原则。</w:t>
      </w:r>
    </w:p>
    <w:p>
      <w:pPr>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三、出让地块的基本情况及规划指标要求等：</w:t>
      </w:r>
    </w:p>
    <w:p>
      <w:pPr>
        <w:spacing w:line="538" w:lineRule="exact"/>
        <w:ind w:left="0" w:firstLine="643" w:firstLineChars="200"/>
        <w:rPr>
          <w:rFonts w:ascii="仿宋" w:hAnsi="仿宋" w:eastAsia="仿宋"/>
          <w:b/>
          <w:color w:val="auto"/>
          <w:sz w:val="32"/>
          <w:szCs w:val="32"/>
        </w:rPr>
      </w:pPr>
      <w:r>
        <w:rPr>
          <w:rFonts w:hint="eastAsia" w:ascii="仿宋" w:hAnsi="仿宋" w:eastAsia="仿宋"/>
          <w:b/>
          <w:color w:val="auto"/>
          <w:sz w:val="32"/>
          <w:szCs w:val="32"/>
        </w:rPr>
        <w:t>一号地块</w:t>
      </w:r>
    </w:p>
    <w:p>
      <w:pPr>
        <w:spacing w:line="538" w:lineRule="exact"/>
        <w:ind w:left="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（一）地块位置：</w:t>
      </w:r>
      <w:r>
        <w:rPr>
          <w:rFonts w:hint="eastAsia" w:ascii="仿宋" w:hAnsi="仿宋" w:eastAsia="仿宋" w:cs="仿宋"/>
          <w:color w:val="auto"/>
          <w:sz w:val="32"/>
          <w:szCs w:val="32"/>
          <w:highlight w:val="none"/>
          <w:lang w:eastAsia="zh-CN"/>
        </w:rPr>
        <w:t>海勃湾</w:t>
      </w:r>
      <w:r>
        <w:rPr>
          <w:rFonts w:hint="eastAsia" w:ascii="仿宋" w:hAnsi="仿宋" w:eastAsia="仿宋"/>
          <w:color w:val="auto"/>
          <w:sz w:val="32"/>
          <w:szCs w:val="32"/>
          <w:lang w:eastAsia="zh-CN"/>
        </w:rPr>
        <w:t>小型加工园区</w:t>
      </w:r>
      <w:r>
        <w:rPr>
          <w:rFonts w:hint="eastAsia" w:ascii="仿宋" w:hAnsi="仿宋" w:eastAsia="仿宋" w:cs="仿宋"/>
          <w:color w:val="auto"/>
          <w:sz w:val="32"/>
          <w:szCs w:val="32"/>
          <w:highlight w:val="none"/>
          <w:lang w:val="en-US" w:eastAsia="zh-CN"/>
        </w:rPr>
        <w:t>；</w:t>
      </w:r>
    </w:p>
    <w:p>
      <w:pPr>
        <w:spacing w:line="538" w:lineRule="exact"/>
        <w:ind w:left="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（二）出让面积：</w:t>
      </w:r>
      <w:r>
        <w:rPr>
          <w:rFonts w:hint="eastAsia" w:ascii="仿宋" w:hAnsi="仿宋" w:eastAsia="仿宋"/>
          <w:color w:val="auto"/>
          <w:kern w:val="0"/>
          <w:sz w:val="32"/>
          <w:szCs w:val="32"/>
          <w:lang w:val="en-US" w:eastAsia="zh-CN"/>
        </w:rPr>
        <w:t>18811.25平方米（约28.22亩）</w:t>
      </w:r>
      <w:r>
        <w:rPr>
          <w:rFonts w:hint="eastAsia" w:ascii="仿宋" w:hAnsi="仿宋" w:eastAsia="仿宋" w:cs="仿宋"/>
          <w:color w:val="auto"/>
          <w:sz w:val="32"/>
          <w:szCs w:val="32"/>
          <w:highlight w:val="none"/>
          <w:lang w:val="en-US" w:eastAsia="zh-CN"/>
        </w:rPr>
        <w:t>；</w:t>
      </w:r>
    </w:p>
    <w:p>
      <w:pPr>
        <w:spacing w:line="538" w:lineRule="exact"/>
        <w:ind w:left="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（三）土地用途：工业用地；</w:t>
      </w:r>
    </w:p>
    <w:p>
      <w:pPr>
        <w:spacing w:line="538" w:lineRule="exact"/>
        <w:ind w:left="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（四）使用年期：工业50年；</w:t>
      </w:r>
    </w:p>
    <w:p>
      <w:pPr>
        <w:spacing w:line="538" w:lineRule="exact"/>
        <w:ind w:left="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（五）建设时间：出让合同约定的动工开发期限内动工，</w:t>
      </w:r>
      <w:r>
        <w:rPr>
          <w:rFonts w:hint="eastAsia" w:ascii="仿宋" w:hAnsi="仿宋" w:eastAsia="仿宋" w:cs="仿宋"/>
          <w:color w:val="auto"/>
          <w:sz w:val="32"/>
          <w:szCs w:val="32"/>
          <w:highlight w:val="none"/>
          <w:lang w:eastAsia="zh-CN"/>
        </w:rPr>
        <w:t>二</w:t>
      </w:r>
      <w:r>
        <w:rPr>
          <w:rFonts w:hint="eastAsia" w:ascii="仿宋" w:hAnsi="仿宋" w:eastAsia="仿宋" w:cs="仿宋"/>
          <w:color w:val="auto"/>
          <w:sz w:val="32"/>
          <w:szCs w:val="32"/>
          <w:highlight w:val="none"/>
        </w:rPr>
        <w:t>年内建设完成；</w:t>
      </w:r>
    </w:p>
    <w:p>
      <w:pPr>
        <w:spacing w:line="538" w:lineRule="exact"/>
        <w:ind w:left="0" w:firstLine="640" w:firstLineChars="200"/>
        <w:rPr>
          <w:rFonts w:hint="eastAsia" w:ascii="仿宋" w:hAnsi="仿宋" w:eastAsia="仿宋"/>
          <w:color w:val="auto"/>
          <w:sz w:val="32"/>
          <w:szCs w:val="32"/>
        </w:rPr>
      </w:pPr>
      <w:r>
        <w:rPr>
          <w:rFonts w:hint="eastAsia" w:ascii="仿宋" w:hAnsi="仿宋" w:eastAsia="仿宋"/>
          <w:color w:val="auto"/>
          <w:sz w:val="32"/>
          <w:szCs w:val="32"/>
        </w:rPr>
        <w:t>（六）规划用地性质：</w:t>
      </w:r>
      <w:r>
        <w:rPr>
          <w:rFonts w:hint="eastAsia" w:ascii="仿宋" w:hAnsi="仿宋" w:eastAsia="仿宋" w:cs="仿宋"/>
          <w:color w:val="auto"/>
          <w:sz w:val="32"/>
          <w:szCs w:val="32"/>
          <w:highlight w:val="none"/>
          <w:lang w:val="en-US" w:eastAsia="zh-CN"/>
        </w:rPr>
        <w:t>工业用地；</w:t>
      </w:r>
    </w:p>
    <w:p>
      <w:pPr>
        <w:spacing w:line="538" w:lineRule="exact"/>
        <w:ind w:left="0" w:firstLine="640" w:firstLineChars="200"/>
        <w:rPr>
          <w:rFonts w:hint="eastAsia" w:ascii="仿宋" w:hAnsi="仿宋" w:eastAsia="仿宋"/>
          <w:color w:val="auto"/>
          <w:sz w:val="32"/>
          <w:szCs w:val="32"/>
        </w:rPr>
      </w:pPr>
      <w:r>
        <w:rPr>
          <w:rFonts w:hint="eastAsia" w:ascii="仿宋" w:hAnsi="仿宋" w:eastAsia="仿宋"/>
          <w:color w:val="auto"/>
          <w:sz w:val="32"/>
          <w:szCs w:val="32"/>
        </w:rPr>
        <w:t>（七）容积率：</w:t>
      </w:r>
      <w:r>
        <w:rPr>
          <w:rFonts w:hint="eastAsia" w:ascii="仿宋" w:hAnsi="仿宋" w:eastAsia="仿宋"/>
          <w:color w:val="auto"/>
          <w:sz w:val="32"/>
          <w:szCs w:val="32"/>
          <w:lang w:val="en-US" w:eastAsia="zh-CN"/>
        </w:rPr>
        <w:t>0.6</w:t>
      </w:r>
      <w:r>
        <w:rPr>
          <w:rFonts w:hint="eastAsia" w:ascii="仿宋" w:hAnsi="仿宋" w:eastAsia="仿宋"/>
          <w:color w:val="auto"/>
          <w:sz w:val="32"/>
          <w:szCs w:val="32"/>
        </w:rPr>
        <w:t>≤</w:t>
      </w:r>
      <w:r>
        <w:rPr>
          <w:rFonts w:hint="eastAsia" w:ascii="仿宋" w:hAnsi="仿宋" w:eastAsia="仿宋"/>
          <w:color w:val="auto"/>
          <w:sz w:val="32"/>
          <w:szCs w:val="32"/>
          <w:lang w:eastAsia="zh-CN"/>
        </w:rPr>
        <w:t>容积率</w:t>
      </w:r>
      <w:r>
        <w:rPr>
          <w:rFonts w:hint="eastAsia" w:ascii="仿宋" w:hAnsi="仿宋" w:eastAsia="仿宋"/>
          <w:color w:val="auto"/>
          <w:sz w:val="32"/>
          <w:szCs w:val="32"/>
        </w:rPr>
        <w:t>≤</w:t>
      </w:r>
      <w:r>
        <w:rPr>
          <w:rFonts w:hint="eastAsia" w:ascii="仿宋" w:hAnsi="仿宋" w:eastAsia="仿宋"/>
          <w:color w:val="auto"/>
          <w:sz w:val="32"/>
          <w:szCs w:val="32"/>
          <w:lang w:val="en-US" w:eastAsia="zh-CN"/>
        </w:rPr>
        <w:t>1.5</w:t>
      </w:r>
      <w:r>
        <w:rPr>
          <w:rFonts w:hint="eastAsia" w:ascii="仿宋" w:hAnsi="仿宋" w:eastAsia="仿宋"/>
          <w:color w:val="auto"/>
          <w:sz w:val="32"/>
          <w:szCs w:val="32"/>
        </w:rPr>
        <w:t>；</w:t>
      </w:r>
    </w:p>
    <w:p>
      <w:pPr>
        <w:spacing w:line="538" w:lineRule="exact"/>
        <w:ind w:left="0"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lang w:eastAsia="zh-CN"/>
        </w:rPr>
        <w:t>（八）</w:t>
      </w:r>
      <w:r>
        <w:rPr>
          <w:rFonts w:hint="eastAsia" w:ascii="仿宋" w:hAnsi="仿宋" w:eastAsia="仿宋"/>
          <w:color w:val="auto"/>
          <w:sz w:val="32"/>
          <w:szCs w:val="32"/>
        </w:rPr>
        <w:t>建筑限高：≤</w:t>
      </w:r>
      <w:r>
        <w:rPr>
          <w:rFonts w:hint="eastAsia" w:ascii="仿宋" w:hAnsi="仿宋" w:eastAsia="仿宋"/>
          <w:color w:val="auto"/>
          <w:sz w:val="32"/>
          <w:szCs w:val="32"/>
          <w:lang w:val="en-US" w:eastAsia="zh-CN"/>
        </w:rPr>
        <w:t>24米</w:t>
      </w:r>
      <w:r>
        <w:rPr>
          <w:rFonts w:hint="eastAsia" w:ascii="仿宋" w:hAnsi="仿宋" w:eastAsia="仿宋"/>
          <w:color w:val="auto"/>
          <w:sz w:val="32"/>
          <w:szCs w:val="32"/>
          <w:lang w:eastAsia="zh-CN"/>
        </w:rPr>
        <w:t>；</w:t>
      </w:r>
    </w:p>
    <w:p>
      <w:pPr>
        <w:spacing w:line="538" w:lineRule="exact"/>
        <w:ind w:left="0"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rPr>
        <w:t>（</w:t>
      </w:r>
      <w:r>
        <w:rPr>
          <w:rFonts w:hint="eastAsia" w:ascii="仿宋" w:hAnsi="仿宋" w:eastAsia="仿宋"/>
          <w:color w:val="auto"/>
          <w:sz w:val="32"/>
          <w:szCs w:val="32"/>
          <w:lang w:eastAsia="zh-CN"/>
        </w:rPr>
        <w:t>九</w:t>
      </w:r>
      <w:r>
        <w:rPr>
          <w:rFonts w:hint="eastAsia" w:ascii="仿宋" w:hAnsi="仿宋" w:eastAsia="仿宋"/>
          <w:color w:val="auto"/>
          <w:sz w:val="32"/>
          <w:szCs w:val="32"/>
        </w:rPr>
        <w:t>）</w:t>
      </w:r>
      <w:r>
        <w:rPr>
          <w:rFonts w:hint="eastAsia" w:ascii="仿宋" w:hAnsi="仿宋" w:eastAsia="仿宋"/>
          <w:color w:val="auto"/>
          <w:sz w:val="32"/>
          <w:szCs w:val="32"/>
          <w:lang w:val="en-US" w:eastAsia="zh-CN"/>
        </w:rPr>
        <w:t>绿地率：</w:t>
      </w:r>
      <w:r>
        <w:rPr>
          <w:rFonts w:hint="eastAsia" w:ascii="仿宋" w:hAnsi="仿宋" w:eastAsia="仿宋"/>
          <w:color w:val="auto"/>
          <w:sz w:val="32"/>
          <w:szCs w:val="32"/>
        </w:rPr>
        <w:t>≤</w:t>
      </w:r>
      <w:r>
        <w:rPr>
          <w:rFonts w:hint="eastAsia" w:ascii="仿宋" w:hAnsi="仿宋" w:eastAsia="仿宋"/>
          <w:color w:val="auto"/>
          <w:sz w:val="32"/>
          <w:szCs w:val="32"/>
          <w:lang w:val="en-US" w:eastAsia="zh-CN"/>
        </w:rPr>
        <w:t>25</w:t>
      </w:r>
      <w:r>
        <w:rPr>
          <w:rFonts w:hint="eastAsia" w:ascii="仿宋" w:hAnsi="仿宋" w:eastAsia="仿宋"/>
          <w:color w:val="auto"/>
          <w:sz w:val="32"/>
          <w:szCs w:val="32"/>
        </w:rPr>
        <w:t>%；</w:t>
      </w:r>
    </w:p>
    <w:p>
      <w:pPr>
        <w:spacing w:line="538" w:lineRule="exact"/>
        <w:ind w:left="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十</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rPr>
        <w:t>建筑</w:t>
      </w:r>
      <w:r>
        <w:rPr>
          <w:rFonts w:hint="eastAsia" w:ascii="仿宋" w:hAnsi="仿宋" w:eastAsia="仿宋" w:cs="仿宋"/>
          <w:color w:val="auto"/>
          <w:sz w:val="32"/>
          <w:szCs w:val="32"/>
          <w:lang w:eastAsia="zh-CN"/>
        </w:rPr>
        <w:t>系数</w:t>
      </w:r>
      <w:r>
        <w:rPr>
          <w:rFonts w:hint="eastAsia" w:ascii="仿宋" w:hAnsi="仿宋" w:eastAsia="仿宋" w:cs="仿宋"/>
          <w:color w:val="auto"/>
          <w:sz w:val="32"/>
          <w:szCs w:val="32"/>
        </w:rPr>
        <w:t>：</w:t>
      </w:r>
      <w:r>
        <w:rPr>
          <w:rFonts w:hint="eastAsia" w:ascii="仿宋" w:hAnsi="仿宋" w:eastAsia="仿宋"/>
          <w:color w:val="auto"/>
          <w:sz w:val="32"/>
          <w:szCs w:val="32"/>
        </w:rPr>
        <w:t>≥</w:t>
      </w:r>
      <w:r>
        <w:rPr>
          <w:rFonts w:hint="eastAsia" w:ascii="仿宋" w:hAnsi="仿宋" w:eastAsia="仿宋"/>
          <w:color w:val="auto"/>
          <w:sz w:val="32"/>
          <w:szCs w:val="32"/>
          <w:lang w:val="en-US" w:eastAsia="zh-CN"/>
        </w:rPr>
        <w:t>40</w:t>
      </w:r>
      <w:r>
        <w:rPr>
          <w:rFonts w:hint="eastAsia" w:ascii="仿宋" w:hAnsi="仿宋" w:eastAsia="仿宋"/>
          <w:color w:val="auto"/>
          <w:sz w:val="32"/>
          <w:szCs w:val="32"/>
        </w:rPr>
        <w:t>%</w:t>
      </w:r>
      <w:r>
        <w:rPr>
          <w:rFonts w:hint="eastAsia" w:ascii="仿宋" w:hAnsi="仿宋" w:eastAsia="仿宋" w:cs="仿宋"/>
          <w:color w:val="auto"/>
          <w:sz w:val="32"/>
          <w:szCs w:val="32"/>
          <w:highlight w:val="none"/>
        </w:rPr>
        <w:t>；</w:t>
      </w:r>
    </w:p>
    <w:p>
      <w:pPr>
        <w:spacing w:line="538" w:lineRule="exact"/>
        <w:ind w:left="0" w:firstLine="640" w:firstLineChars="20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（十一）</w:t>
      </w:r>
      <w:r>
        <w:rPr>
          <w:rFonts w:hint="eastAsia" w:ascii="仿宋" w:hAnsi="仿宋" w:eastAsia="仿宋" w:cs="仿宋"/>
          <w:color w:val="auto"/>
          <w:sz w:val="32"/>
          <w:szCs w:val="32"/>
          <w:highlight w:val="none"/>
          <w:lang w:val="en-US" w:eastAsia="zh-CN"/>
        </w:rPr>
        <w:t>投资强度：≥625万元/公顷；</w:t>
      </w:r>
    </w:p>
    <w:p>
      <w:pPr>
        <w:spacing w:line="538" w:lineRule="exact"/>
        <w:ind w:left="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（十二）</w:t>
      </w:r>
      <w:r>
        <w:rPr>
          <w:rFonts w:hint="eastAsia" w:ascii="仿宋" w:hAnsi="仿宋" w:eastAsia="仿宋" w:cs="仿宋"/>
          <w:color w:val="auto"/>
          <w:sz w:val="32"/>
          <w:szCs w:val="32"/>
          <w:highlight w:val="none"/>
        </w:rPr>
        <w:t>建筑退线要求：满足规划设计条件要求；</w:t>
      </w:r>
    </w:p>
    <w:p>
      <w:pPr>
        <w:spacing w:line="538" w:lineRule="exact"/>
        <w:ind w:left="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（十三）</w:t>
      </w:r>
      <w:r>
        <w:rPr>
          <w:rFonts w:hint="eastAsia" w:ascii="仿宋" w:hAnsi="仿宋" w:eastAsia="仿宋" w:cs="仿宋"/>
          <w:color w:val="auto"/>
          <w:sz w:val="32"/>
          <w:szCs w:val="32"/>
          <w:highlight w:val="none"/>
        </w:rPr>
        <w:t>出让地块的空间范围须符合城市规划管理的有关要求；</w:t>
      </w:r>
    </w:p>
    <w:p>
      <w:pPr>
        <w:spacing w:line="538" w:lineRule="exact"/>
        <w:ind w:left="0"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（十四）</w:t>
      </w:r>
      <w:r>
        <w:rPr>
          <w:rFonts w:hint="eastAsia" w:ascii="仿宋" w:hAnsi="仿宋" w:eastAsia="仿宋" w:cs="仿宋"/>
          <w:color w:val="auto"/>
          <w:sz w:val="32"/>
          <w:szCs w:val="32"/>
          <w:highlight w:val="none"/>
        </w:rPr>
        <w:t>其他规划要求以规划条件书为准。</w:t>
      </w:r>
    </w:p>
    <w:p>
      <w:pPr>
        <w:keepNext w:val="0"/>
        <w:keepLines w:val="0"/>
        <w:pageBreakBefore w:val="0"/>
        <w:widowControl w:val="0"/>
        <w:suppressLineNumbers w:val="0"/>
        <w:tabs>
          <w:tab w:val="left" w:pos="7560"/>
        </w:tabs>
        <w:kinsoku/>
        <w:wordWrap/>
        <w:overflowPunct/>
        <w:topLinePunct w:val="0"/>
        <w:autoSpaceDE/>
        <w:autoSpaceDN/>
        <w:bidi w:val="0"/>
        <w:adjustRightInd w:val="0"/>
        <w:snapToGrid w:val="0"/>
        <w:spacing w:before="0" w:beforeAutospacing="0" w:after="0" w:afterAutospacing="0" w:line="560" w:lineRule="exact"/>
        <w:ind w:left="0" w:right="0" w:firstLine="624"/>
        <w:jc w:val="both"/>
        <w:textAlignment w:val="baseline"/>
        <w:rPr>
          <w:rFonts w:hint="eastAsia" w:ascii="仿宋" w:hAnsi="仿宋" w:eastAsia="仿宋" w:cs="仿宋_GB2312"/>
          <w:color w:val="auto"/>
          <w:sz w:val="32"/>
          <w:szCs w:val="32"/>
          <w:lang w:val="en-US" w:eastAsia="zh-CN"/>
        </w:rPr>
      </w:pPr>
      <w:r>
        <w:rPr>
          <w:rFonts w:hint="eastAsia" w:ascii="仿宋" w:hAnsi="仿宋" w:eastAsia="仿宋" w:cs="仿宋"/>
          <w:color w:val="auto"/>
          <w:sz w:val="32"/>
          <w:szCs w:val="32"/>
          <w:highlight w:val="none"/>
          <w:lang w:eastAsia="zh-CN"/>
        </w:rPr>
        <w:t>（十</w:t>
      </w:r>
      <w:r>
        <w:rPr>
          <w:rFonts w:hint="eastAsia" w:ascii="仿宋" w:hAnsi="仿宋" w:eastAsia="仿宋"/>
          <w:color w:val="auto"/>
          <w:sz w:val="32"/>
          <w:szCs w:val="32"/>
          <w:lang w:eastAsia="zh-CN"/>
        </w:rPr>
        <w:t>五</w:t>
      </w:r>
      <w:r>
        <w:rPr>
          <w:rFonts w:hint="eastAsia" w:ascii="仿宋" w:hAnsi="仿宋" w:eastAsia="仿宋" w:cs="仿宋"/>
          <w:color w:val="auto"/>
          <w:sz w:val="32"/>
          <w:szCs w:val="32"/>
          <w:highlight w:val="none"/>
          <w:lang w:eastAsia="zh-CN"/>
        </w:rPr>
        <w:t>）</w:t>
      </w:r>
      <w:r>
        <w:rPr>
          <w:rFonts w:hint="eastAsia" w:ascii="仿宋" w:hAnsi="仿宋" w:eastAsia="仿宋" w:cs="仿宋_GB2312"/>
          <w:color w:val="auto"/>
          <w:sz w:val="32"/>
          <w:szCs w:val="32"/>
        </w:rPr>
        <w:t>该地块用地范围属于20</w:t>
      </w:r>
      <w:r>
        <w:rPr>
          <w:rFonts w:hint="eastAsia" w:ascii="仿宋" w:hAnsi="仿宋" w:eastAsia="仿宋" w:cs="仿宋_GB2312"/>
          <w:color w:val="auto"/>
          <w:sz w:val="32"/>
          <w:szCs w:val="32"/>
          <w:lang w:val="en-US" w:eastAsia="zh-CN"/>
        </w:rPr>
        <w:t>21</w:t>
      </w:r>
      <w:r>
        <w:rPr>
          <w:rFonts w:hint="eastAsia" w:ascii="仿宋" w:hAnsi="仿宋" w:eastAsia="仿宋" w:cs="仿宋_GB2312"/>
          <w:color w:val="auto"/>
          <w:sz w:val="32"/>
          <w:szCs w:val="32"/>
        </w:rPr>
        <w:t>年第</w:t>
      </w:r>
      <w:r>
        <w:rPr>
          <w:rFonts w:hint="eastAsia" w:ascii="仿宋" w:hAnsi="仿宋" w:eastAsia="仿宋" w:cs="仿宋_GB2312"/>
          <w:color w:val="auto"/>
          <w:sz w:val="32"/>
          <w:szCs w:val="32"/>
          <w:lang w:eastAsia="zh-CN"/>
        </w:rPr>
        <w:t>七</w:t>
      </w:r>
      <w:r>
        <w:rPr>
          <w:rFonts w:hint="eastAsia" w:ascii="仿宋" w:hAnsi="仿宋" w:eastAsia="仿宋" w:cs="仿宋_GB2312"/>
          <w:color w:val="auto"/>
          <w:sz w:val="32"/>
          <w:szCs w:val="32"/>
        </w:rPr>
        <w:t>批次的报批范围内（内政土发[20</w:t>
      </w:r>
      <w:r>
        <w:rPr>
          <w:rFonts w:hint="eastAsia" w:ascii="仿宋" w:hAnsi="仿宋" w:eastAsia="仿宋" w:cs="仿宋_GB2312"/>
          <w:color w:val="auto"/>
          <w:sz w:val="32"/>
          <w:szCs w:val="32"/>
          <w:lang w:val="en-US" w:eastAsia="zh-CN"/>
        </w:rPr>
        <w:t>21</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992</w:t>
      </w:r>
      <w:r>
        <w:rPr>
          <w:rFonts w:hint="eastAsia" w:ascii="仿宋" w:hAnsi="仿宋" w:eastAsia="仿宋" w:cs="仿宋_GB2312"/>
          <w:color w:val="auto"/>
          <w:sz w:val="32"/>
          <w:szCs w:val="32"/>
        </w:rPr>
        <w:t>号）</w:t>
      </w:r>
      <w:r>
        <w:rPr>
          <w:rFonts w:hint="eastAsia" w:ascii="仿宋" w:hAnsi="仿宋" w:eastAsia="仿宋" w:cs="仿宋_GB2312"/>
          <w:color w:val="auto"/>
          <w:sz w:val="32"/>
          <w:szCs w:val="32"/>
          <w:lang w:eastAsia="zh-CN"/>
        </w:rPr>
        <w:t>，</w:t>
      </w:r>
      <w:r>
        <w:rPr>
          <w:rFonts w:hint="eastAsia" w:ascii="仿宋" w:hAnsi="仿宋" w:eastAsia="仿宋" w:cs="仿宋"/>
          <w:color w:val="auto"/>
          <w:kern w:val="2"/>
          <w:sz w:val="32"/>
          <w:szCs w:val="32"/>
          <w:vertAlign w:val="baseline"/>
          <w:lang w:val="en-US" w:eastAsia="zh-CN" w:bidi="ar"/>
        </w:rPr>
        <w:t>未批先建属违法用地现按净地挂牌</w:t>
      </w:r>
      <w:r>
        <w:rPr>
          <w:rFonts w:hint="eastAsia" w:ascii="仿宋" w:hAnsi="仿宋" w:eastAsia="仿宋"/>
          <w:color w:val="auto"/>
          <w:sz w:val="32"/>
          <w:szCs w:val="32"/>
          <w:highlight w:val="none"/>
        </w:rPr>
        <w:t>现状</w:t>
      </w:r>
      <w:r>
        <w:rPr>
          <w:rFonts w:hint="eastAsia" w:ascii="仿宋" w:hAnsi="仿宋" w:eastAsia="仿宋"/>
          <w:color w:val="auto"/>
          <w:sz w:val="32"/>
          <w:szCs w:val="32"/>
          <w:highlight w:val="none"/>
          <w:lang w:eastAsia="zh-CN"/>
        </w:rPr>
        <w:t>交付</w:t>
      </w:r>
      <w:r>
        <w:rPr>
          <w:rFonts w:hint="eastAsia" w:ascii="仿宋" w:hAnsi="仿宋" w:eastAsia="仿宋"/>
          <w:color w:val="auto"/>
          <w:sz w:val="32"/>
          <w:szCs w:val="32"/>
          <w:highlight w:val="none"/>
        </w:rPr>
        <w:t>，地上建筑物由</w:t>
      </w:r>
      <w:r>
        <w:rPr>
          <w:rFonts w:hint="eastAsia" w:ascii="仿宋" w:hAnsi="仿宋" w:eastAsia="仿宋"/>
          <w:color w:val="auto"/>
          <w:sz w:val="32"/>
          <w:szCs w:val="32"/>
          <w:highlight w:val="none"/>
          <w:lang w:eastAsia="zh-CN"/>
        </w:rPr>
        <w:t>竞得人自行协商</w:t>
      </w:r>
      <w:r>
        <w:rPr>
          <w:rFonts w:hint="eastAsia" w:ascii="仿宋" w:hAnsi="仿宋" w:eastAsia="仿宋"/>
          <w:color w:val="auto"/>
          <w:sz w:val="32"/>
          <w:szCs w:val="32"/>
          <w:highlight w:val="none"/>
        </w:rPr>
        <w:t>解决</w:t>
      </w:r>
      <w:r>
        <w:rPr>
          <w:rFonts w:hint="eastAsia" w:ascii="仿宋" w:hAnsi="仿宋" w:eastAsia="仿宋"/>
          <w:color w:val="auto"/>
          <w:sz w:val="32"/>
          <w:szCs w:val="32"/>
          <w:highlight w:val="none"/>
          <w:lang w:eastAsia="zh-CN"/>
        </w:rPr>
        <w:t>。</w:t>
      </w:r>
    </w:p>
    <w:p>
      <w:pPr>
        <w:keepNext w:val="0"/>
        <w:keepLines w:val="0"/>
        <w:pageBreakBefore w:val="0"/>
        <w:kinsoku/>
        <w:wordWrap/>
        <w:overflowPunct/>
        <w:topLinePunct w:val="0"/>
        <w:autoSpaceDE/>
        <w:autoSpaceDN/>
        <w:bidi w:val="0"/>
        <w:adjustRightInd w:val="0"/>
        <w:snapToGrid w:val="0"/>
        <w:spacing w:after="0" w:line="560" w:lineRule="exact"/>
        <w:ind w:firstLine="624"/>
        <w:textAlignment w:val="baseline"/>
        <w:rPr>
          <w:rFonts w:hint="eastAsia" w:ascii="仿宋" w:hAnsi="仿宋" w:eastAsia="仿宋" w:cs="仿宋"/>
          <w:color w:val="auto"/>
          <w:sz w:val="32"/>
          <w:szCs w:val="32"/>
          <w:highlight w:val="none"/>
        </w:rPr>
      </w:pPr>
      <w:r>
        <w:rPr>
          <w:rFonts w:hint="eastAsia" w:ascii="仿宋" w:hAnsi="仿宋" w:eastAsia="仿宋"/>
          <w:color w:val="auto"/>
          <w:sz w:val="32"/>
          <w:szCs w:val="32"/>
          <w:lang w:eastAsia="zh-CN"/>
        </w:rPr>
        <w:t>该项目用地</w:t>
      </w:r>
      <w:r>
        <w:rPr>
          <w:rFonts w:hint="eastAsia" w:ascii="仿宋" w:hAnsi="仿宋" w:eastAsia="仿宋"/>
          <w:color w:val="auto"/>
          <w:sz w:val="32"/>
          <w:szCs w:val="32"/>
        </w:rPr>
        <w:t>范围内如有树木、供电设施等，受让人可结合规划设计方案保留，对不需要保留的，由受让人自行与有关部门解决，并承担所需费用。如需要考古或地下有构筑物、其他设施等，由受让人自行与有关部门协商解决，并承担所需费用。</w:t>
      </w:r>
    </w:p>
    <w:p>
      <w:pPr>
        <w:spacing w:line="538" w:lineRule="exact"/>
        <w:ind w:left="0" w:firstLine="640" w:firstLineChars="200"/>
        <w:rPr>
          <w:rFonts w:hint="eastAsia" w:ascii="仿宋" w:hAnsi="仿宋" w:eastAsia="仿宋"/>
          <w:color w:val="auto"/>
          <w:sz w:val="32"/>
          <w:szCs w:val="32"/>
        </w:rPr>
      </w:pPr>
      <w:r>
        <w:rPr>
          <w:rFonts w:hint="eastAsia" w:ascii="仿宋" w:hAnsi="仿宋" w:eastAsia="仿宋"/>
          <w:color w:val="auto"/>
          <w:sz w:val="32"/>
          <w:szCs w:val="32"/>
        </w:rPr>
        <w:t>（十</w:t>
      </w:r>
      <w:r>
        <w:rPr>
          <w:rFonts w:hint="eastAsia" w:ascii="仿宋" w:hAnsi="仿宋" w:eastAsia="仿宋"/>
          <w:color w:val="auto"/>
          <w:sz w:val="32"/>
          <w:szCs w:val="32"/>
          <w:lang w:eastAsia="zh-CN"/>
        </w:rPr>
        <w:t>六</w:t>
      </w:r>
      <w:r>
        <w:rPr>
          <w:rFonts w:hint="eastAsia" w:ascii="仿宋" w:hAnsi="仿宋" w:eastAsia="仿宋"/>
          <w:color w:val="auto"/>
          <w:sz w:val="32"/>
          <w:szCs w:val="32"/>
        </w:rPr>
        <w:t>）其他要求：出让地块的空间范围须符合城市规划管理的有关</w:t>
      </w:r>
      <w:r>
        <w:rPr>
          <w:rFonts w:hint="eastAsia" w:ascii="仿宋" w:hAnsi="仿宋" w:eastAsia="仿宋" w:cs="仿宋"/>
          <w:color w:val="auto"/>
          <w:sz w:val="32"/>
          <w:szCs w:val="32"/>
          <w:highlight w:val="none"/>
        </w:rPr>
        <w:t>要求，必须严格按照《内蒙古自治区建设用地规划条件书》（条字第：</w:t>
      </w:r>
      <w:r>
        <w:rPr>
          <w:rFonts w:hint="eastAsia" w:ascii="仿宋" w:hAnsi="仿宋" w:eastAsia="仿宋"/>
          <w:color w:val="auto"/>
          <w:kern w:val="0"/>
          <w:sz w:val="32"/>
          <w:szCs w:val="32"/>
        </w:rPr>
        <w:t>15030220</w:t>
      </w:r>
      <w:r>
        <w:rPr>
          <w:rFonts w:hint="eastAsia" w:ascii="仿宋" w:hAnsi="仿宋" w:eastAsia="仿宋"/>
          <w:color w:val="auto"/>
          <w:kern w:val="0"/>
          <w:sz w:val="32"/>
          <w:szCs w:val="32"/>
          <w:lang w:val="en-US" w:eastAsia="zh-CN"/>
        </w:rPr>
        <w:t>2200011</w:t>
      </w:r>
      <w:r>
        <w:rPr>
          <w:rFonts w:hint="eastAsia" w:ascii="仿宋" w:hAnsi="仿宋" w:eastAsia="仿宋" w:cs="仿宋"/>
          <w:color w:val="auto"/>
          <w:sz w:val="32"/>
          <w:szCs w:val="32"/>
          <w:highlight w:val="none"/>
        </w:rPr>
        <w:t>号）的有关要求进行建设。</w:t>
      </w:r>
    </w:p>
    <w:p>
      <w:pPr>
        <w:spacing w:line="538" w:lineRule="exact"/>
        <w:ind w:left="0" w:firstLine="643" w:firstLineChars="200"/>
        <w:rPr>
          <w:rFonts w:ascii="仿宋" w:hAnsi="仿宋" w:eastAsia="仿宋"/>
          <w:b/>
          <w:color w:val="auto"/>
          <w:sz w:val="32"/>
          <w:szCs w:val="32"/>
        </w:rPr>
      </w:pPr>
      <w:r>
        <w:rPr>
          <w:rFonts w:hint="eastAsia" w:ascii="仿宋" w:hAnsi="仿宋" w:eastAsia="仿宋"/>
          <w:b/>
          <w:color w:val="auto"/>
          <w:sz w:val="32"/>
          <w:szCs w:val="32"/>
          <w:lang w:eastAsia="zh-CN"/>
        </w:rPr>
        <w:t>二</w:t>
      </w:r>
      <w:r>
        <w:rPr>
          <w:rFonts w:hint="eastAsia" w:ascii="仿宋" w:hAnsi="仿宋" w:eastAsia="仿宋"/>
          <w:b/>
          <w:color w:val="auto"/>
          <w:sz w:val="32"/>
          <w:szCs w:val="32"/>
        </w:rPr>
        <w:t>号地块</w:t>
      </w:r>
    </w:p>
    <w:p>
      <w:pPr>
        <w:spacing w:line="538" w:lineRule="exact"/>
        <w:ind w:left="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（一）地块位置：</w:t>
      </w:r>
      <w:r>
        <w:rPr>
          <w:rFonts w:hint="eastAsia" w:ascii="仿宋" w:hAnsi="仿宋" w:eastAsia="仿宋" w:cs="仿宋"/>
          <w:color w:val="auto"/>
          <w:sz w:val="32"/>
          <w:szCs w:val="32"/>
          <w:highlight w:val="none"/>
          <w:lang w:eastAsia="zh-CN"/>
        </w:rPr>
        <w:t>海勃湾</w:t>
      </w:r>
      <w:r>
        <w:rPr>
          <w:rFonts w:hint="eastAsia" w:ascii="仿宋" w:hAnsi="仿宋" w:eastAsia="仿宋"/>
          <w:color w:val="auto"/>
          <w:sz w:val="32"/>
          <w:szCs w:val="32"/>
          <w:lang w:eastAsia="zh-CN"/>
        </w:rPr>
        <w:t>小型加工园区</w:t>
      </w:r>
      <w:r>
        <w:rPr>
          <w:rFonts w:hint="eastAsia" w:ascii="仿宋" w:hAnsi="仿宋" w:eastAsia="仿宋" w:cs="仿宋"/>
          <w:color w:val="auto"/>
          <w:sz w:val="32"/>
          <w:szCs w:val="32"/>
          <w:highlight w:val="none"/>
          <w:lang w:val="en-US" w:eastAsia="zh-CN"/>
        </w:rPr>
        <w:t>；</w:t>
      </w:r>
    </w:p>
    <w:p>
      <w:pPr>
        <w:keepNext w:val="0"/>
        <w:keepLines w:val="0"/>
        <w:pageBreakBefore w:val="0"/>
        <w:kinsoku/>
        <w:wordWrap/>
        <w:overflowPunct/>
        <w:topLinePunct w:val="0"/>
        <w:autoSpaceDE/>
        <w:autoSpaceDN/>
        <w:bidi w:val="0"/>
        <w:adjustRightInd w:val="0"/>
        <w:snapToGrid w:val="0"/>
        <w:spacing w:after="0" w:line="560" w:lineRule="exact"/>
        <w:ind w:firstLine="624"/>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（二）出让面积：3383.2平方米(约5.07亩)；</w:t>
      </w:r>
    </w:p>
    <w:p>
      <w:pPr>
        <w:spacing w:line="538" w:lineRule="exact"/>
        <w:ind w:left="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（三）土地用途：工业用地；</w:t>
      </w:r>
    </w:p>
    <w:p>
      <w:pPr>
        <w:spacing w:line="538" w:lineRule="exact"/>
        <w:ind w:left="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（四）使用年期：工业20年；</w:t>
      </w:r>
    </w:p>
    <w:p>
      <w:pPr>
        <w:spacing w:line="538" w:lineRule="exact"/>
        <w:ind w:left="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（五）建设时间：出让合同约定的动工开发期限内动工，</w:t>
      </w:r>
      <w:r>
        <w:rPr>
          <w:rFonts w:hint="eastAsia" w:ascii="仿宋" w:hAnsi="仿宋" w:eastAsia="仿宋" w:cs="仿宋"/>
          <w:color w:val="auto"/>
          <w:sz w:val="32"/>
          <w:szCs w:val="32"/>
          <w:highlight w:val="none"/>
          <w:lang w:eastAsia="zh-CN"/>
        </w:rPr>
        <w:t>二</w:t>
      </w:r>
      <w:r>
        <w:rPr>
          <w:rFonts w:hint="eastAsia" w:ascii="仿宋" w:hAnsi="仿宋" w:eastAsia="仿宋" w:cs="仿宋"/>
          <w:color w:val="auto"/>
          <w:sz w:val="32"/>
          <w:szCs w:val="32"/>
          <w:highlight w:val="none"/>
        </w:rPr>
        <w:t>年内建设完成；</w:t>
      </w:r>
    </w:p>
    <w:p>
      <w:pPr>
        <w:spacing w:line="538" w:lineRule="exact"/>
        <w:ind w:left="0" w:firstLine="640" w:firstLineChars="200"/>
        <w:rPr>
          <w:rFonts w:hint="eastAsia" w:ascii="仿宋" w:hAnsi="仿宋" w:eastAsia="仿宋"/>
          <w:color w:val="auto"/>
          <w:sz w:val="32"/>
          <w:szCs w:val="32"/>
        </w:rPr>
      </w:pPr>
      <w:r>
        <w:rPr>
          <w:rFonts w:hint="eastAsia" w:ascii="仿宋" w:hAnsi="仿宋" w:eastAsia="仿宋"/>
          <w:color w:val="auto"/>
          <w:sz w:val="32"/>
          <w:szCs w:val="32"/>
        </w:rPr>
        <w:t>（六）规划用地性质：</w:t>
      </w:r>
      <w:r>
        <w:rPr>
          <w:rFonts w:hint="eastAsia" w:ascii="仿宋" w:hAnsi="仿宋" w:eastAsia="仿宋" w:cs="仿宋"/>
          <w:color w:val="auto"/>
          <w:sz w:val="32"/>
          <w:szCs w:val="32"/>
          <w:highlight w:val="none"/>
          <w:lang w:val="en-US" w:eastAsia="zh-CN"/>
        </w:rPr>
        <w:t>工业用地；</w:t>
      </w:r>
    </w:p>
    <w:p>
      <w:pPr>
        <w:spacing w:line="538" w:lineRule="exact"/>
        <w:ind w:left="0" w:firstLine="640" w:firstLineChars="200"/>
        <w:rPr>
          <w:rFonts w:hint="eastAsia" w:ascii="仿宋" w:hAnsi="仿宋" w:eastAsia="仿宋"/>
          <w:color w:val="auto"/>
          <w:sz w:val="32"/>
          <w:szCs w:val="32"/>
        </w:rPr>
      </w:pPr>
      <w:r>
        <w:rPr>
          <w:rFonts w:hint="eastAsia" w:ascii="仿宋" w:hAnsi="仿宋" w:eastAsia="仿宋"/>
          <w:color w:val="auto"/>
          <w:sz w:val="32"/>
          <w:szCs w:val="32"/>
        </w:rPr>
        <w:t>（七）容积率：</w:t>
      </w:r>
      <w:r>
        <w:rPr>
          <w:rFonts w:hint="eastAsia" w:ascii="仿宋" w:hAnsi="仿宋" w:eastAsia="仿宋"/>
          <w:color w:val="auto"/>
          <w:sz w:val="32"/>
          <w:szCs w:val="32"/>
          <w:lang w:val="en-US" w:eastAsia="zh-CN"/>
        </w:rPr>
        <w:t>0.7</w:t>
      </w:r>
      <w:r>
        <w:rPr>
          <w:rFonts w:hint="eastAsia" w:ascii="仿宋" w:hAnsi="仿宋" w:eastAsia="仿宋"/>
          <w:color w:val="auto"/>
          <w:sz w:val="32"/>
          <w:szCs w:val="32"/>
        </w:rPr>
        <w:t>≤</w:t>
      </w:r>
      <w:r>
        <w:rPr>
          <w:rFonts w:hint="eastAsia" w:ascii="仿宋" w:hAnsi="仿宋" w:eastAsia="仿宋"/>
          <w:color w:val="auto"/>
          <w:sz w:val="32"/>
          <w:szCs w:val="32"/>
          <w:lang w:eastAsia="zh-CN"/>
        </w:rPr>
        <w:t>容积率</w:t>
      </w:r>
      <w:r>
        <w:rPr>
          <w:rFonts w:hint="eastAsia" w:ascii="仿宋" w:hAnsi="仿宋" w:eastAsia="仿宋"/>
          <w:color w:val="auto"/>
          <w:sz w:val="32"/>
          <w:szCs w:val="32"/>
        </w:rPr>
        <w:t>≤</w:t>
      </w:r>
      <w:r>
        <w:rPr>
          <w:rFonts w:hint="eastAsia" w:ascii="仿宋" w:hAnsi="仿宋" w:eastAsia="仿宋"/>
          <w:color w:val="auto"/>
          <w:sz w:val="32"/>
          <w:szCs w:val="32"/>
          <w:lang w:val="en-US" w:eastAsia="zh-CN"/>
        </w:rPr>
        <w:t>1.2</w:t>
      </w:r>
      <w:r>
        <w:rPr>
          <w:rFonts w:hint="eastAsia" w:ascii="仿宋" w:hAnsi="仿宋" w:eastAsia="仿宋"/>
          <w:color w:val="auto"/>
          <w:sz w:val="32"/>
          <w:szCs w:val="32"/>
        </w:rPr>
        <w:t>；</w:t>
      </w:r>
    </w:p>
    <w:p>
      <w:pPr>
        <w:spacing w:line="538" w:lineRule="exact"/>
        <w:ind w:left="0"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lang w:eastAsia="zh-CN"/>
        </w:rPr>
        <w:t>（八）</w:t>
      </w:r>
      <w:r>
        <w:rPr>
          <w:rFonts w:hint="eastAsia" w:ascii="仿宋" w:hAnsi="仿宋" w:eastAsia="仿宋"/>
          <w:color w:val="auto"/>
          <w:sz w:val="32"/>
          <w:szCs w:val="32"/>
        </w:rPr>
        <w:t>建筑限高：≤</w:t>
      </w:r>
      <w:r>
        <w:rPr>
          <w:rFonts w:hint="eastAsia" w:ascii="仿宋" w:hAnsi="仿宋" w:eastAsia="仿宋"/>
          <w:color w:val="auto"/>
          <w:sz w:val="32"/>
          <w:szCs w:val="32"/>
          <w:lang w:val="en-US" w:eastAsia="zh-CN"/>
        </w:rPr>
        <w:t>24米</w:t>
      </w:r>
      <w:r>
        <w:rPr>
          <w:rFonts w:hint="eastAsia" w:ascii="仿宋" w:hAnsi="仿宋" w:eastAsia="仿宋"/>
          <w:color w:val="auto"/>
          <w:sz w:val="32"/>
          <w:szCs w:val="32"/>
          <w:lang w:eastAsia="zh-CN"/>
        </w:rPr>
        <w:t>；</w:t>
      </w:r>
    </w:p>
    <w:p>
      <w:pPr>
        <w:spacing w:line="538" w:lineRule="exact"/>
        <w:ind w:left="0"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rPr>
        <w:t>（</w:t>
      </w:r>
      <w:r>
        <w:rPr>
          <w:rFonts w:hint="eastAsia" w:ascii="仿宋" w:hAnsi="仿宋" w:eastAsia="仿宋"/>
          <w:color w:val="auto"/>
          <w:sz w:val="32"/>
          <w:szCs w:val="32"/>
          <w:lang w:eastAsia="zh-CN"/>
        </w:rPr>
        <w:t>九</w:t>
      </w:r>
      <w:r>
        <w:rPr>
          <w:rFonts w:hint="eastAsia" w:ascii="仿宋" w:hAnsi="仿宋" w:eastAsia="仿宋"/>
          <w:color w:val="auto"/>
          <w:sz w:val="32"/>
          <w:szCs w:val="32"/>
        </w:rPr>
        <w:t>）</w:t>
      </w:r>
      <w:r>
        <w:rPr>
          <w:rFonts w:hint="eastAsia" w:ascii="仿宋" w:hAnsi="仿宋" w:eastAsia="仿宋"/>
          <w:color w:val="auto"/>
          <w:sz w:val="32"/>
          <w:szCs w:val="32"/>
          <w:lang w:val="en-US" w:eastAsia="zh-CN"/>
        </w:rPr>
        <w:t>绿地率：</w:t>
      </w:r>
      <w:r>
        <w:rPr>
          <w:rFonts w:hint="eastAsia" w:ascii="仿宋" w:hAnsi="仿宋" w:eastAsia="仿宋"/>
          <w:color w:val="auto"/>
          <w:sz w:val="32"/>
          <w:szCs w:val="32"/>
        </w:rPr>
        <w:t>≤</w:t>
      </w:r>
      <w:r>
        <w:rPr>
          <w:rFonts w:hint="eastAsia" w:ascii="仿宋" w:hAnsi="仿宋" w:eastAsia="仿宋"/>
          <w:color w:val="auto"/>
          <w:sz w:val="32"/>
          <w:szCs w:val="32"/>
          <w:lang w:val="en-US" w:eastAsia="zh-CN"/>
        </w:rPr>
        <w:t>25</w:t>
      </w:r>
      <w:r>
        <w:rPr>
          <w:rFonts w:hint="eastAsia" w:ascii="仿宋" w:hAnsi="仿宋" w:eastAsia="仿宋"/>
          <w:color w:val="auto"/>
          <w:sz w:val="32"/>
          <w:szCs w:val="32"/>
        </w:rPr>
        <w:t>%；</w:t>
      </w:r>
    </w:p>
    <w:p>
      <w:pPr>
        <w:spacing w:line="538" w:lineRule="exact"/>
        <w:ind w:left="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十</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rPr>
        <w:t>建筑</w:t>
      </w:r>
      <w:r>
        <w:rPr>
          <w:rFonts w:hint="eastAsia" w:ascii="仿宋" w:hAnsi="仿宋" w:eastAsia="仿宋" w:cs="仿宋"/>
          <w:color w:val="auto"/>
          <w:sz w:val="32"/>
          <w:szCs w:val="32"/>
          <w:lang w:eastAsia="zh-CN"/>
        </w:rPr>
        <w:t>系数</w:t>
      </w:r>
      <w:r>
        <w:rPr>
          <w:rFonts w:hint="eastAsia" w:ascii="仿宋" w:hAnsi="仿宋" w:eastAsia="仿宋" w:cs="仿宋"/>
          <w:color w:val="auto"/>
          <w:sz w:val="32"/>
          <w:szCs w:val="32"/>
        </w:rPr>
        <w:t>：</w:t>
      </w:r>
      <w:r>
        <w:rPr>
          <w:rFonts w:hint="eastAsia" w:ascii="仿宋" w:hAnsi="仿宋" w:eastAsia="仿宋"/>
          <w:color w:val="auto"/>
          <w:sz w:val="32"/>
          <w:szCs w:val="32"/>
        </w:rPr>
        <w:t>≥</w:t>
      </w:r>
      <w:r>
        <w:rPr>
          <w:rFonts w:hint="eastAsia" w:ascii="仿宋" w:hAnsi="仿宋" w:eastAsia="仿宋"/>
          <w:color w:val="auto"/>
          <w:sz w:val="32"/>
          <w:szCs w:val="32"/>
          <w:lang w:val="en-US" w:eastAsia="zh-CN"/>
        </w:rPr>
        <w:t>40</w:t>
      </w:r>
      <w:r>
        <w:rPr>
          <w:rFonts w:hint="eastAsia" w:ascii="仿宋" w:hAnsi="仿宋" w:eastAsia="仿宋"/>
          <w:color w:val="auto"/>
          <w:sz w:val="32"/>
          <w:szCs w:val="32"/>
        </w:rPr>
        <w:t>%</w:t>
      </w:r>
      <w:r>
        <w:rPr>
          <w:rFonts w:hint="eastAsia" w:ascii="仿宋" w:hAnsi="仿宋" w:eastAsia="仿宋" w:cs="仿宋"/>
          <w:color w:val="auto"/>
          <w:sz w:val="32"/>
          <w:szCs w:val="32"/>
          <w:highlight w:val="none"/>
        </w:rPr>
        <w:t>；</w:t>
      </w:r>
    </w:p>
    <w:p>
      <w:pPr>
        <w:spacing w:line="538" w:lineRule="exact"/>
        <w:ind w:left="0" w:firstLine="640" w:firstLineChars="20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（十一）</w:t>
      </w:r>
      <w:r>
        <w:rPr>
          <w:rFonts w:hint="eastAsia" w:ascii="仿宋" w:hAnsi="仿宋" w:eastAsia="仿宋" w:cs="仿宋"/>
          <w:color w:val="auto"/>
          <w:sz w:val="32"/>
          <w:szCs w:val="32"/>
          <w:highlight w:val="none"/>
          <w:lang w:val="en-US" w:eastAsia="zh-CN"/>
        </w:rPr>
        <w:t>投资强度：≥625万元/公顷；</w:t>
      </w:r>
    </w:p>
    <w:p>
      <w:pPr>
        <w:spacing w:line="538" w:lineRule="exact"/>
        <w:ind w:left="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（十二）</w:t>
      </w:r>
      <w:r>
        <w:rPr>
          <w:rFonts w:hint="eastAsia" w:ascii="仿宋" w:hAnsi="仿宋" w:eastAsia="仿宋" w:cs="仿宋"/>
          <w:color w:val="auto"/>
          <w:sz w:val="32"/>
          <w:szCs w:val="32"/>
          <w:highlight w:val="none"/>
        </w:rPr>
        <w:t>建筑退线要求：满足规划设计条件要求；</w:t>
      </w:r>
    </w:p>
    <w:p>
      <w:pPr>
        <w:spacing w:line="538" w:lineRule="exact"/>
        <w:ind w:left="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（十三）</w:t>
      </w:r>
      <w:r>
        <w:rPr>
          <w:rFonts w:hint="eastAsia" w:ascii="仿宋" w:hAnsi="仿宋" w:eastAsia="仿宋" w:cs="仿宋"/>
          <w:color w:val="auto"/>
          <w:sz w:val="32"/>
          <w:szCs w:val="32"/>
          <w:highlight w:val="none"/>
        </w:rPr>
        <w:t>出让地块的空间范围须符合城市规划管理的有关要求；</w:t>
      </w:r>
    </w:p>
    <w:p>
      <w:pPr>
        <w:spacing w:line="538" w:lineRule="exact"/>
        <w:ind w:left="0"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（十四）</w:t>
      </w:r>
      <w:r>
        <w:rPr>
          <w:rFonts w:hint="eastAsia" w:ascii="仿宋" w:hAnsi="仿宋" w:eastAsia="仿宋" w:cs="仿宋"/>
          <w:color w:val="auto"/>
          <w:sz w:val="32"/>
          <w:szCs w:val="32"/>
          <w:highlight w:val="none"/>
        </w:rPr>
        <w:t>其他规划要求以规划条件书为准。</w:t>
      </w:r>
    </w:p>
    <w:p>
      <w:pPr>
        <w:keepNext w:val="0"/>
        <w:keepLines w:val="0"/>
        <w:pageBreakBefore w:val="0"/>
        <w:widowControl w:val="0"/>
        <w:suppressLineNumbers w:val="0"/>
        <w:tabs>
          <w:tab w:val="left" w:pos="7560"/>
        </w:tabs>
        <w:kinsoku/>
        <w:wordWrap/>
        <w:overflowPunct/>
        <w:topLinePunct w:val="0"/>
        <w:autoSpaceDE/>
        <w:autoSpaceDN/>
        <w:bidi w:val="0"/>
        <w:adjustRightInd w:val="0"/>
        <w:snapToGrid w:val="0"/>
        <w:spacing w:before="0" w:beforeAutospacing="0" w:after="0" w:afterAutospacing="0" w:line="560" w:lineRule="exact"/>
        <w:ind w:left="0" w:right="0" w:firstLine="624"/>
        <w:jc w:val="both"/>
        <w:textAlignment w:val="baseline"/>
        <w:rPr>
          <w:rFonts w:hint="eastAsia" w:ascii="仿宋" w:hAnsi="仿宋" w:eastAsia="仿宋" w:cs="仿宋_GB2312"/>
          <w:color w:val="auto"/>
          <w:sz w:val="32"/>
          <w:szCs w:val="32"/>
          <w:lang w:val="en-US" w:eastAsia="zh-CN"/>
        </w:rPr>
      </w:pPr>
      <w:r>
        <w:rPr>
          <w:rFonts w:hint="eastAsia" w:ascii="仿宋" w:hAnsi="仿宋" w:eastAsia="仿宋" w:cs="仿宋"/>
          <w:color w:val="auto"/>
          <w:sz w:val="32"/>
          <w:szCs w:val="32"/>
          <w:highlight w:val="none"/>
          <w:lang w:eastAsia="zh-CN"/>
        </w:rPr>
        <w:t>（十</w:t>
      </w:r>
      <w:r>
        <w:rPr>
          <w:rFonts w:hint="eastAsia" w:ascii="仿宋" w:hAnsi="仿宋" w:eastAsia="仿宋"/>
          <w:color w:val="auto"/>
          <w:sz w:val="32"/>
          <w:szCs w:val="32"/>
          <w:lang w:eastAsia="zh-CN"/>
        </w:rPr>
        <w:t>五</w:t>
      </w:r>
      <w:r>
        <w:rPr>
          <w:rFonts w:hint="eastAsia" w:ascii="仿宋" w:hAnsi="仿宋" w:eastAsia="仿宋" w:cs="仿宋"/>
          <w:color w:val="auto"/>
          <w:sz w:val="32"/>
          <w:szCs w:val="32"/>
          <w:highlight w:val="none"/>
          <w:lang w:eastAsia="zh-CN"/>
        </w:rPr>
        <w:t>）</w:t>
      </w:r>
      <w:r>
        <w:rPr>
          <w:rFonts w:hint="eastAsia" w:ascii="仿宋" w:hAnsi="仿宋" w:eastAsia="仿宋" w:cs="仿宋_GB2312"/>
          <w:color w:val="auto"/>
          <w:sz w:val="32"/>
          <w:szCs w:val="32"/>
        </w:rPr>
        <w:t>该地块用地范围属于20</w:t>
      </w:r>
      <w:r>
        <w:rPr>
          <w:rFonts w:hint="eastAsia" w:ascii="仿宋" w:hAnsi="仿宋" w:eastAsia="仿宋" w:cs="仿宋_GB2312"/>
          <w:color w:val="auto"/>
          <w:sz w:val="32"/>
          <w:szCs w:val="32"/>
          <w:lang w:val="en-US" w:eastAsia="zh-CN"/>
        </w:rPr>
        <w:t>21</w:t>
      </w:r>
      <w:r>
        <w:rPr>
          <w:rFonts w:hint="eastAsia" w:ascii="仿宋" w:hAnsi="仿宋" w:eastAsia="仿宋" w:cs="仿宋_GB2312"/>
          <w:color w:val="auto"/>
          <w:sz w:val="32"/>
          <w:szCs w:val="32"/>
        </w:rPr>
        <w:t>年第</w:t>
      </w:r>
      <w:r>
        <w:rPr>
          <w:rFonts w:hint="eastAsia" w:ascii="仿宋" w:hAnsi="仿宋" w:eastAsia="仿宋" w:cs="仿宋_GB2312"/>
          <w:color w:val="auto"/>
          <w:sz w:val="32"/>
          <w:szCs w:val="32"/>
          <w:lang w:eastAsia="zh-CN"/>
        </w:rPr>
        <w:t>七</w:t>
      </w:r>
      <w:r>
        <w:rPr>
          <w:rFonts w:hint="eastAsia" w:ascii="仿宋" w:hAnsi="仿宋" w:eastAsia="仿宋" w:cs="仿宋_GB2312"/>
          <w:color w:val="auto"/>
          <w:sz w:val="32"/>
          <w:szCs w:val="32"/>
        </w:rPr>
        <w:t>批次的报批范围内（内政土发[20</w:t>
      </w:r>
      <w:r>
        <w:rPr>
          <w:rFonts w:hint="eastAsia" w:ascii="仿宋" w:hAnsi="仿宋" w:eastAsia="仿宋" w:cs="仿宋_GB2312"/>
          <w:color w:val="auto"/>
          <w:sz w:val="32"/>
          <w:szCs w:val="32"/>
          <w:lang w:val="en-US" w:eastAsia="zh-CN"/>
        </w:rPr>
        <w:t>21</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992</w:t>
      </w:r>
      <w:r>
        <w:rPr>
          <w:rFonts w:hint="eastAsia" w:ascii="仿宋" w:hAnsi="仿宋" w:eastAsia="仿宋" w:cs="仿宋_GB2312"/>
          <w:color w:val="auto"/>
          <w:sz w:val="32"/>
          <w:szCs w:val="32"/>
        </w:rPr>
        <w:t>号）</w:t>
      </w:r>
      <w:r>
        <w:rPr>
          <w:rFonts w:hint="eastAsia" w:ascii="仿宋" w:hAnsi="仿宋" w:eastAsia="仿宋" w:cs="仿宋_GB2312"/>
          <w:color w:val="auto"/>
          <w:sz w:val="32"/>
          <w:szCs w:val="32"/>
          <w:lang w:eastAsia="zh-CN"/>
        </w:rPr>
        <w:t>，</w:t>
      </w:r>
      <w:r>
        <w:rPr>
          <w:rFonts w:hint="eastAsia" w:ascii="仿宋" w:hAnsi="仿宋" w:eastAsia="仿宋" w:cs="仿宋"/>
          <w:color w:val="auto"/>
          <w:kern w:val="2"/>
          <w:sz w:val="32"/>
          <w:szCs w:val="32"/>
          <w:vertAlign w:val="baseline"/>
          <w:lang w:val="en-US" w:eastAsia="zh-CN" w:bidi="ar"/>
        </w:rPr>
        <w:t>未批先建属违法用地现按净地挂牌</w:t>
      </w:r>
      <w:r>
        <w:rPr>
          <w:rFonts w:hint="eastAsia" w:ascii="仿宋" w:hAnsi="仿宋" w:eastAsia="仿宋"/>
          <w:color w:val="auto"/>
          <w:sz w:val="32"/>
          <w:szCs w:val="32"/>
          <w:highlight w:val="none"/>
        </w:rPr>
        <w:t>现状</w:t>
      </w:r>
      <w:r>
        <w:rPr>
          <w:rFonts w:hint="eastAsia" w:ascii="仿宋" w:hAnsi="仿宋" w:eastAsia="仿宋"/>
          <w:color w:val="auto"/>
          <w:sz w:val="32"/>
          <w:szCs w:val="32"/>
          <w:highlight w:val="none"/>
          <w:lang w:eastAsia="zh-CN"/>
        </w:rPr>
        <w:t>交付</w:t>
      </w:r>
      <w:r>
        <w:rPr>
          <w:rFonts w:hint="eastAsia" w:ascii="仿宋" w:hAnsi="仿宋" w:eastAsia="仿宋"/>
          <w:color w:val="auto"/>
          <w:sz w:val="32"/>
          <w:szCs w:val="32"/>
          <w:highlight w:val="none"/>
        </w:rPr>
        <w:t>，地上建筑物由</w:t>
      </w:r>
      <w:r>
        <w:rPr>
          <w:rFonts w:hint="eastAsia" w:ascii="仿宋" w:hAnsi="仿宋" w:eastAsia="仿宋"/>
          <w:color w:val="auto"/>
          <w:sz w:val="32"/>
          <w:szCs w:val="32"/>
          <w:highlight w:val="none"/>
          <w:lang w:eastAsia="zh-CN"/>
        </w:rPr>
        <w:t>竞得人自行协商</w:t>
      </w:r>
      <w:r>
        <w:rPr>
          <w:rFonts w:hint="eastAsia" w:ascii="仿宋" w:hAnsi="仿宋" w:eastAsia="仿宋"/>
          <w:color w:val="auto"/>
          <w:sz w:val="32"/>
          <w:szCs w:val="32"/>
          <w:highlight w:val="none"/>
        </w:rPr>
        <w:t>解决</w:t>
      </w:r>
      <w:r>
        <w:rPr>
          <w:rFonts w:hint="eastAsia" w:ascii="仿宋" w:hAnsi="仿宋" w:eastAsia="仿宋"/>
          <w:color w:val="auto"/>
          <w:sz w:val="32"/>
          <w:szCs w:val="32"/>
          <w:highlight w:val="none"/>
          <w:lang w:eastAsia="zh-CN"/>
        </w:rPr>
        <w:t>。</w:t>
      </w:r>
    </w:p>
    <w:p>
      <w:pPr>
        <w:keepNext w:val="0"/>
        <w:keepLines w:val="0"/>
        <w:pageBreakBefore w:val="0"/>
        <w:kinsoku/>
        <w:wordWrap/>
        <w:overflowPunct/>
        <w:topLinePunct w:val="0"/>
        <w:autoSpaceDE/>
        <w:autoSpaceDN/>
        <w:bidi w:val="0"/>
        <w:adjustRightInd w:val="0"/>
        <w:snapToGrid w:val="0"/>
        <w:spacing w:after="0" w:line="560" w:lineRule="exact"/>
        <w:ind w:firstLine="624"/>
        <w:textAlignment w:val="baseline"/>
        <w:rPr>
          <w:rFonts w:hint="eastAsia" w:ascii="仿宋" w:hAnsi="仿宋" w:eastAsia="仿宋" w:cs="仿宋"/>
          <w:color w:val="auto"/>
          <w:sz w:val="32"/>
          <w:szCs w:val="32"/>
          <w:highlight w:val="none"/>
        </w:rPr>
      </w:pPr>
      <w:r>
        <w:rPr>
          <w:rFonts w:hint="eastAsia" w:ascii="仿宋" w:hAnsi="仿宋" w:eastAsia="仿宋"/>
          <w:color w:val="auto"/>
          <w:sz w:val="32"/>
          <w:szCs w:val="32"/>
          <w:lang w:eastAsia="zh-CN"/>
        </w:rPr>
        <w:t>该项目用地</w:t>
      </w:r>
      <w:r>
        <w:rPr>
          <w:rFonts w:hint="eastAsia" w:ascii="仿宋" w:hAnsi="仿宋" w:eastAsia="仿宋"/>
          <w:color w:val="auto"/>
          <w:sz w:val="32"/>
          <w:szCs w:val="32"/>
        </w:rPr>
        <w:t>范围内如有树木、供电设施等，受让人可结合规划设计方案保留，对不需要保留的，由受让人自行与有关部门解决，并承担所需费用。如需要考古或地下有构筑物、其他设施等，由受让人自行与有关部门协商解决，并承担所需费用。</w:t>
      </w:r>
    </w:p>
    <w:p>
      <w:pPr>
        <w:spacing w:line="538" w:lineRule="exact"/>
        <w:ind w:left="0" w:firstLine="640" w:firstLineChars="200"/>
        <w:rPr>
          <w:rFonts w:hint="eastAsia" w:ascii="仿宋" w:hAnsi="仿宋" w:eastAsia="仿宋"/>
          <w:color w:val="auto"/>
          <w:sz w:val="32"/>
          <w:szCs w:val="32"/>
        </w:rPr>
      </w:pPr>
      <w:r>
        <w:rPr>
          <w:rFonts w:hint="eastAsia" w:ascii="仿宋" w:hAnsi="仿宋" w:eastAsia="仿宋"/>
          <w:color w:val="auto"/>
          <w:sz w:val="32"/>
          <w:szCs w:val="32"/>
        </w:rPr>
        <w:t>（十</w:t>
      </w:r>
      <w:r>
        <w:rPr>
          <w:rFonts w:hint="eastAsia" w:ascii="仿宋" w:hAnsi="仿宋" w:eastAsia="仿宋"/>
          <w:color w:val="auto"/>
          <w:sz w:val="32"/>
          <w:szCs w:val="32"/>
          <w:lang w:eastAsia="zh-CN"/>
        </w:rPr>
        <w:t>六</w:t>
      </w:r>
      <w:r>
        <w:rPr>
          <w:rFonts w:hint="eastAsia" w:ascii="仿宋" w:hAnsi="仿宋" w:eastAsia="仿宋"/>
          <w:color w:val="auto"/>
          <w:sz w:val="32"/>
          <w:szCs w:val="32"/>
        </w:rPr>
        <w:t>）其他要求：出让地块的空间范围须符合城市规划管理的有关</w:t>
      </w:r>
      <w:r>
        <w:rPr>
          <w:rFonts w:hint="eastAsia" w:ascii="仿宋" w:hAnsi="仿宋" w:eastAsia="仿宋" w:cs="仿宋"/>
          <w:color w:val="auto"/>
          <w:sz w:val="32"/>
          <w:szCs w:val="32"/>
          <w:highlight w:val="none"/>
        </w:rPr>
        <w:t>要求，必须严格按照《内蒙古自治区建设用地规划条件书》（条字第：</w:t>
      </w:r>
      <w:r>
        <w:rPr>
          <w:rFonts w:hint="eastAsia" w:ascii="仿宋" w:hAnsi="仿宋" w:eastAsia="仿宋"/>
          <w:color w:val="auto"/>
          <w:kern w:val="0"/>
          <w:sz w:val="32"/>
          <w:szCs w:val="32"/>
        </w:rPr>
        <w:t>15030220</w:t>
      </w:r>
      <w:r>
        <w:rPr>
          <w:rFonts w:hint="eastAsia" w:ascii="仿宋" w:hAnsi="仿宋" w:eastAsia="仿宋"/>
          <w:color w:val="auto"/>
          <w:kern w:val="0"/>
          <w:sz w:val="32"/>
          <w:szCs w:val="32"/>
          <w:lang w:val="en-US" w:eastAsia="zh-CN"/>
        </w:rPr>
        <w:t>2200016</w:t>
      </w:r>
      <w:r>
        <w:rPr>
          <w:rFonts w:hint="eastAsia" w:ascii="仿宋" w:hAnsi="仿宋" w:eastAsia="仿宋" w:cs="仿宋"/>
          <w:color w:val="auto"/>
          <w:sz w:val="32"/>
          <w:szCs w:val="32"/>
          <w:highlight w:val="none"/>
        </w:rPr>
        <w:t>号）的有关要求进行建设。</w:t>
      </w:r>
    </w:p>
    <w:p>
      <w:pPr>
        <w:spacing w:line="538" w:lineRule="exact"/>
        <w:ind w:left="0" w:firstLine="964" w:firstLineChars="300"/>
        <w:rPr>
          <w:rFonts w:ascii="仿宋" w:hAnsi="仿宋" w:eastAsia="仿宋"/>
          <w:b/>
          <w:color w:val="auto"/>
          <w:sz w:val="32"/>
          <w:szCs w:val="32"/>
        </w:rPr>
      </w:pPr>
      <w:r>
        <w:rPr>
          <w:rFonts w:hint="eastAsia" w:ascii="仿宋" w:hAnsi="仿宋" w:eastAsia="仿宋"/>
          <w:b/>
          <w:color w:val="auto"/>
          <w:sz w:val="32"/>
          <w:szCs w:val="32"/>
          <w:lang w:eastAsia="zh-CN"/>
        </w:rPr>
        <w:t>三</w:t>
      </w:r>
      <w:r>
        <w:rPr>
          <w:rFonts w:hint="eastAsia" w:ascii="仿宋" w:hAnsi="仿宋" w:eastAsia="仿宋"/>
          <w:b/>
          <w:color w:val="auto"/>
          <w:sz w:val="32"/>
          <w:szCs w:val="32"/>
        </w:rPr>
        <w:t>号地块</w:t>
      </w:r>
    </w:p>
    <w:p>
      <w:pPr>
        <w:spacing w:line="538" w:lineRule="exact"/>
        <w:ind w:left="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（一）地块位置：</w:t>
      </w:r>
      <w:r>
        <w:rPr>
          <w:rFonts w:hint="eastAsia" w:ascii="仿宋" w:hAnsi="仿宋" w:eastAsia="仿宋" w:cs="仿宋"/>
          <w:color w:val="auto"/>
          <w:sz w:val="32"/>
          <w:szCs w:val="32"/>
          <w:highlight w:val="none"/>
          <w:lang w:eastAsia="zh-CN"/>
        </w:rPr>
        <w:t>海勃湾</w:t>
      </w:r>
      <w:r>
        <w:rPr>
          <w:rFonts w:hint="eastAsia" w:ascii="仿宋" w:hAnsi="仿宋" w:eastAsia="仿宋"/>
          <w:color w:val="auto"/>
          <w:sz w:val="32"/>
          <w:szCs w:val="32"/>
          <w:lang w:eastAsia="zh-CN"/>
        </w:rPr>
        <w:t>小型加工园区</w:t>
      </w:r>
      <w:r>
        <w:rPr>
          <w:rFonts w:hint="eastAsia" w:ascii="仿宋" w:hAnsi="仿宋" w:eastAsia="仿宋" w:cs="仿宋"/>
          <w:color w:val="auto"/>
          <w:sz w:val="32"/>
          <w:szCs w:val="32"/>
          <w:highlight w:val="none"/>
          <w:lang w:val="en-US" w:eastAsia="zh-CN"/>
        </w:rPr>
        <w:t>；</w:t>
      </w:r>
    </w:p>
    <w:p>
      <w:pPr>
        <w:keepNext w:val="0"/>
        <w:keepLines w:val="0"/>
        <w:pageBreakBefore w:val="0"/>
        <w:kinsoku/>
        <w:wordWrap/>
        <w:overflowPunct/>
        <w:topLinePunct w:val="0"/>
        <w:autoSpaceDE/>
        <w:autoSpaceDN/>
        <w:bidi w:val="0"/>
        <w:adjustRightInd w:val="0"/>
        <w:snapToGrid w:val="0"/>
        <w:spacing w:after="0" w:line="560" w:lineRule="exact"/>
        <w:ind w:firstLine="624"/>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（二）出让面积：</w:t>
      </w:r>
      <w:r>
        <w:rPr>
          <w:rFonts w:hint="eastAsia" w:ascii="仿宋" w:hAnsi="仿宋" w:eastAsia="仿宋" w:cs="仿宋"/>
          <w:color w:val="auto"/>
          <w:kern w:val="0"/>
          <w:sz w:val="32"/>
          <w:szCs w:val="32"/>
          <w:lang w:val="en-US" w:eastAsia="zh-CN"/>
        </w:rPr>
        <w:t>93.86平方米（约0.14亩）</w:t>
      </w:r>
      <w:r>
        <w:rPr>
          <w:rFonts w:hint="eastAsia" w:ascii="仿宋" w:hAnsi="仿宋" w:eastAsia="仿宋" w:cs="仿宋"/>
          <w:color w:val="auto"/>
          <w:sz w:val="32"/>
          <w:szCs w:val="32"/>
          <w:highlight w:val="none"/>
          <w:lang w:val="en-US" w:eastAsia="zh-CN"/>
        </w:rPr>
        <w:t>；</w:t>
      </w:r>
    </w:p>
    <w:p>
      <w:pPr>
        <w:spacing w:line="538" w:lineRule="exact"/>
        <w:ind w:left="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（三）土地用途：工业用地；</w:t>
      </w:r>
    </w:p>
    <w:p>
      <w:pPr>
        <w:spacing w:line="538" w:lineRule="exact"/>
        <w:ind w:left="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（四）使用年期：工业50年；</w:t>
      </w:r>
    </w:p>
    <w:p>
      <w:pPr>
        <w:spacing w:line="538" w:lineRule="exact"/>
        <w:ind w:left="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（五）建设时间：出让合同约定的动工开发期限内动工，</w:t>
      </w:r>
      <w:r>
        <w:rPr>
          <w:rFonts w:hint="eastAsia" w:ascii="仿宋" w:hAnsi="仿宋" w:eastAsia="仿宋" w:cs="仿宋"/>
          <w:color w:val="auto"/>
          <w:sz w:val="32"/>
          <w:szCs w:val="32"/>
          <w:highlight w:val="none"/>
          <w:lang w:eastAsia="zh-CN"/>
        </w:rPr>
        <w:t>二</w:t>
      </w:r>
      <w:r>
        <w:rPr>
          <w:rFonts w:hint="eastAsia" w:ascii="仿宋" w:hAnsi="仿宋" w:eastAsia="仿宋" w:cs="仿宋"/>
          <w:color w:val="auto"/>
          <w:sz w:val="32"/>
          <w:szCs w:val="32"/>
          <w:highlight w:val="none"/>
        </w:rPr>
        <w:t>年内建设完成；</w:t>
      </w:r>
    </w:p>
    <w:p>
      <w:pPr>
        <w:spacing w:line="538" w:lineRule="exact"/>
        <w:ind w:left="0" w:firstLine="640" w:firstLineChars="200"/>
        <w:rPr>
          <w:rFonts w:hint="eastAsia" w:ascii="仿宋" w:hAnsi="仿宋" w:eastAsia="仿宋"/>
          <w:color w:val="auto"/>
          <w:sz w:val="32"/>
          <w:szCs w:val="32"/>
        </w:rPr>
      </w:pPr>
      <w:r>
        <w:rPr>
          <w:rFonts w:hint="eastAsia" w:ascii="仿宋" w:hAnsi="仿宋" w:eastAsia="仿宋"/>
          <w:color w:val="auto"/>
          <w:sz w:val="32"/>
          <w:szCs w:val="32"/>
        </w:rPr>
        <w:t>（六）规划用地性质：</w:t>
      </w:r>
      <w:r>
        <w:rPr>
          <w:rFonts w:hint="eastAsia" w:ascii="仿宋" w:hAnsi="仿宋" w:eastAsia="仿宋" w:cs="仿宋"/>
          <w:color w:val="auto"/>
          <w:sz w:val="32"/>
          <w:szCs w:val="32"/>
          <w:highlight w:val="none"/>
          <w:lang w:val="en-US" w:eastAsia="zh-CN"/>
        </w:rPr>
        <w:t>工业用地；</w:t>
      </w:r>
    </w:p>
    <w:p>
      <w:pPr>
        <w:spacing w:line="538" w:lineRule="exact"/>
        <w:ind w:left="0" w:firstLine="640" w:firstLineChars="200"/>
        <w:rPr>
          <w:rFonts w:hint="eastAsia" w:ascii="仿宋" w:hAnsi="仿宋" w:eastAsia="仿宋"/>
          <w:color w:val="auto"/>
          <w:sz w:val="32"/>
          <w:szCs w:val="32"/>
        </w:rPr>
      </w:pPr>
      <w:r>
        <w:rPr>
          <w:rFonts w:hint="eastAsia" w:ascii="仿宋" w:hAnsi="仿宋" w:eastAsia="仿宋"/>
          <w:color w:val="auto"/>
          <w:sz w:val="32"/>
          <w:szCs w:val="32"/>
        </w:rPr>
        <w:t>（七）容积率：</w:t>
      </w:r>
      <w:r>
        <w:rPr>
          <w:rFonts w:hint="eastAsia" w:ascii="仿宋" w:hAnsi="仿宋" w:eastAsia="仿宋"/>
          <w:color w:val="auto"/>
          <w:sz w:val="32"/>
          <w:szCs w:val="32"/>
          <w:lang w:val="en-US" w:eastAsia="zh-CN"/>
        </w:rPr>
        <w:t>0.6</w:t>
      </w:r>
      <w:r>
        <w:rPr>
          <w:rFonts w:hint="eastAsia" w:ascii="仿宋" w:hAnsi="仿宋" w:eastAsia="仿宋"/>
          <w:color w:val="auto"/>
          <w:sz w:val="32"/>
          <w:szCs w:val="32"/>
        </w:rPr>
        <w:t>≤</w:t>
      </w:r>
      <w:r>
        <w:rPr>
          <w:rFonts w:hint="eastAsia" w:ascii="仿宋" w:hAnsi="仿宋" w:eastAsia="仿宋"/>
          <w:color w:val="auto"/>
          <w:sz w:val="32"/>
          <w:szCs w:val="32"/>
          <w:lang w:eastAsia="zh-CN"/>
        </w:rPr>
        <w:t>容积率</w:t>
      </w:r>
      <w:r>
        <w:rPr>
          <w:rFonts w:hint="eastAsia" w:ascii="仿宋" w:hAnsi="仿宋" w:eastAsia="仿宋"/>
          <w:color w:val="auto"/>
          <w:sz w:val="32"/>
          <w:szCs w:val="32"/>
        </w:rPr>
        <w:t>≤</w:t>
      </w:r>
      <w:r>
        <w:rPr>
          <w:rFonts w:hint="eastAsia" w:ascii="仿宋" w:hAnsi="仿宋" w:eastAsia="仿宋"/>
          <w:color w:val="auto"/>
          <w:sz w:val="32"/>
          <w:szCs w:val="32"/>
          <w:lang w:val="en-US" w:eastAsia="zh-CN"/>
        </w:rPr>
        <w:t>1.5</w:t>
      </w:r>
      <w:r>
        <w:rPr>
          <w:rFonts w:hint="eastAsia" w:ascii="仿宋" w:hAnsi="仿宋" w:eastAsia="仿宋"/>
          <w:color w:val="auto"/>
          <w:sz w:val="32"/>
          <w:szCs w:val="32"/>
        </w:rPr>
        <w:t>；</w:t>
      </w:r>
    </w:p>
    <w:p>
      <w:pPr>
        <w:spacing w:line="538" w:lineRule="exact"/>
        <w:ind w:left="0"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lang w:eastAsia="zh-CN"/>
        </w:rPr>
        <w:t>（八）</w:t>
      </w:r>
      <w:r>
        <w:rPr>
          <w:rFonts w:hint="eastAsia" w:ascii="仿宋" w:hAnsi="仿宋" w:eastAsia="仿宋"/>
          <w:color w:val="auto"/>
          <w:sz w:val="32"/>
          <w:szCs w:val="32"/>
        </w:rPr>
        <w:t>建筑限高：≤</w:t>
      </w:r>
      <w:r>
        <w:rPr>
          <w:rFonts w:hint="eastAsia" w:ascii="仿宋" w:hAnsi="仿宋" w:eastAsia="仿宋"/>
          <w:color w:val="auto"/>
          <w:sz w:val="32"/>
          <w:szCs w:val="32"/>
          <w:lang w:val="en-US" w:eastAsia="zh-CN"/>
        </w:rPr>
        <w:t>24米</w:t>
      </w:r>
      <w:r>
        <w:rPr>
          <w:rFonts w:hint="eastAsia" w:ascii="仿宋" w:hAnsi="仿宋" w:eastAsia="仿宋"/>
          <w:color w:val="auto"/>
          <w:sz w:val="32"/>
          <w:szCs w:val="32"/>
          <w:lang w:eastAsia="zh-CN"/>
        </w:rPr>
        <w:t>；</w:t>
      </w:r>
    </w:p>
    <w:p>
      <w:pPr>
        <w:spacing w:line="538" w:lineRule="exact"/>
        <w:ind w:left="0"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rPr>
        <w:t>（</w:t>
      </w:r>
      <w:r>
        <w:rPr>
          <w:rFonts w:hint="eastAsia" w:ascii="仿宋" w:hAnsi="仿宋" w:eastAsia="仿宋"/>
          <w:color w:val="auto"/>
          <w:sz w:val="32"/>
          <w:szCs w:val="32"/>
          <w:lang w:eastAsia="zh-CN"/>
        </w:rPr>
        <w:t>九</w:t>
      </w:r>
      <w:r>
        <w:rPr>
          <w:rFonts w:hint="eastAsia" w:ascii="仿宋" w:hAnsi="仿宋" w:eastAsia="仿宋"/>
          <w:color w:val="auto"/>
          <w:sz w:val="32"/>
          <w:szCs w:val="32"/>
        </w:rPr>
        <w:t>）</w:t>
      </w:r>
      <w:r>
        <w:rPr>
          <w:rFonts w:hint="eastAsia" w:ascii="仿宋" w:hAnsi="仿宋" w:eastAsia="仿宋"/>
          <w:color w:val="auto"/>
          <w:sz w:val="32"/>
          <w:szCs w:val="32"/>
          <w:lang w:val="en-US" w:eastAsia="zh-CN"/>
        </w:rPr>
        <w:t>绿地率：</w:t>
      </w:r>
      <w:r>
        <w:rPr>
          <w:rFonts w:hint="eastAsia" w:ascii="仿宋" w:hAnsi="仿宋" w:eastAsia="仿宋"/>
          <w:color w:val="auto"/>
          <w:sz w:val="32"/>
          <w:szCs w:val="32"/>
        </w:rPr>
        <w:t>≤</w:t>
      </w:r>
      <w:r>
        <w:rPr>
          <w:rFonts w:hint="eastAsia" w:ascii="仿宋" w:hAnsi="仿宋" w:eastAsia="仿宋"/>
          <w:color w:val="auto"/>
          <w:sz w:val="32"/>
          <w:szCs w:val="32"/>
          <w:lang w:val="en-US" w:eastAsia="zh-CN"/>
        </w:rPr>
        <w:t>25</w:t>
      </w:r>
      <w:r>
        <w:rPr>
          <w:rFonts w:hint="eastAsia" w:ascii="仿宋" w:hAnsi="仿宋" w:eastAsia="仿宋"/>
          <w:color w:val="auto"/>
          <w:sz w:val="32"/>
          <w:szCs w:val="32"/>
        </w:rPr>
        <w:t>%；</w:t>
      </w:r>
    </w:p>
    <w:p>
      <w:pPr>
        <w:spacing w:line="538" w:lineRule="exact"/>
        <w:ind w:left="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十</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rPr>
        <w:t>建筑</w:t>
      </w:r>
      <w:r>
        <w:rPr>
          <w:rFonts w:hint="eastAsia" w:ascii="仿宋" w:hAnsi="仿宋" w:eastAsia="仿宋" w:cs="仿宋"/>
          <w:color w:val="auto"/>
          <w:sz w:val="32"/>
          <w:szCs w:val="32"/>
          <w:lang w:eastAsia="zh-CN"/>
        </w:rPr>
        <w:t>系数</w:t>
      </w:r>
      <w:r>
        <w:rPr>
          <w:rFonts w:hint="eastAsia" w:ascii="仿宋" w:hAnsi="仿宋" w:eastAsia="仿宋" w:cs="仿宋"/>
          <w:color w:val="auto"/>
          <w:sz w:val="32"/>
          <w:szCs w:val="32"/>
        </w:rPr>
        <w:t>：</w:t>
      </w:r>
      <w:r>
        <w:rPr>
          <w:rFonts w:hint="eastAsia" w:ascii="仿宋" w:hAnsi="仿宋" w:eastAsia="仿宋"/>
          <w:color w:val="auto"/>
          <w:sz w:val="32"/>
          <w:szCs w:val="32"/>
        </w:rPr>
        <w:t>≥</w:t>
      </w:r>
      <w:r>
        <w:rPr>
          <w:rFonts w:hint="eastAsia" w:ascii="仿宋" w:hAnsi="仿宋" w:eastAsia="仿宋"/>
          <w:color w:val="auto"/>
          <w:sz w:val="32"/>
          <w:szCs w:val="32"/>
          <w:lang w:val="en-US" w:eastAsia="zh-CN"/>
        </w:rPr>
        <w:t>40</w:t>
      </w:r>
      <w:r>
        <w:rPr>
          <w:rFonts w:hint="eastAsia" w:ascii="仿宋" w:hAnsi="仿宋" w:eastAsia="仿宋"/>
          <w:color w:val="auto"/>
          <w:sz w:val="32"/>
          <w:szCs w:val="32"/>
        </w:rPr>
        <w:t>%</w:t>
      </w:r>
      <w:r>
        <w:rPr>
          <w:rFonts w:hint="eastAsia" w:ascii="仿宋" w:hAnsi="仿宋" w:eastAsia="仿宋" w:cs="仿宋"/>
          <w:color w:val="auto"/>
          <w:sz w:val="32"/>
          <w:szCs w:val="32"/>
          <w:highlight w:val="none"/>
        </w:rPr>
        <w:t>；</w:t>
      </w:r>
    </w:p>
    <w:p>
      <w:pPr>
        <w:spacing w:line="538" w:lineRule="exact"/>
        <w:ind w:left="0" w:firstLine="640" w:firstLineChars="20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（十一）</w:t>
      </w:r>
      <w:r>
        <w:rPr>
          <w:rFonts w:hint="eastAsia" w:ascii="仿宋" w:hAnsi="仿宋" w:eastAsia="仿宋" w:cs="仿宋"/>
          <w:color w:val="auto"/>
          <w:sz w:val="32"/>
          <w:szCs w:val="32"/>
          <w:highlight w:val="none"/>
          <w:lang w:val="en-US" w:eastAsia="zh-CN"/>
        </w:rPr>
        <w:t>投资强度：≥625万元/公顷；</w:t>
      </w:r>
    </w:p>
    <w:p>
      <w:pPr>
        <w:spacing w:line="538" w:lineRule="exact"/>
        <w:ind w:left="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（十二）</w:t>
      </w:r>
      <w:r>
        <w:rPr>
          <w:rFonts w:hint="eastAsia" w:ascii="仿宋" w:hAnsi="仿宋" w:eastAsia="仿宋" w:cs="仿宋"/>
          <w:color w:val="auto"/>
          <w:sz w:val="32"/>
          <w:szCs w:val="32"/>
          <w:highlight w:val="none"/>
        </w:rPr>
        <w:t>建筑退线要求：满足规划设计条件要求；</w:t>
      </w:r>
    </w:p>
    <w:p>
      <w:pPr>
        <w:spacing w:line="538" w:lineRule="exact"/>
        <w:ind w:left="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（十三）</w:t>
      </w:r>
      <w:r>
        <w:rPr>
          <w:rFonts w:hint="eastAsia" w:ascii="仿宋" w:hAnsi="仿宋" w:eastAsia="仿宋" w:cs="仿宋"/>
          <w:color w:val="auto"/>
          <w:sz w:val="32"/>
          <w:szCs w:val="32"/>
          <w:highlight w:val="none"/>
        </w:rPr>
        <w:t>出让地块的空间范围须符合城市规划管理的有关要求；</w:t>
      </w:r>
    </w:p>
    <w:p>
      <w:pPr>
        <w:spacing w:line="538" w:lineRule="exact"/>
        <w:ind w:left="0"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（十四）</w:t>
      </w:r>
      <w:r>
        <w:rPr>
          <w:rFonts w:hint="eastAsia" w:ascii="仿宋" w:hAnsi="仿宋" w:eastAsia="仿宋" w:cs="仿宋"/>
          <w:color w:val="auto"/>
          <w:sz w:val="32"/>
          <w:szCs w:val="32"/>
          <w:highlight w:val="none"/>
        </w:rPr>
        <w:t>其他规划要求以规划条件书为准。</w:t>
      </w:r>
    </w:p>
    <w:p>
      <w:pPr>
        <w:keepNext w:val="0"/>
        <w:keepLines w:val="0"/>
        <w:pageBreakBefore w:val="0"/>
        <w:widowControl w:val="0"/>
        <w:suppressLineNumbers w:val="0"/>
        <w:tabs>
          <w:tab w:val="left" w:pos="7560"/>
        </w:tabs>
        <w:kinsoku/>
        <w:wordWrap/>
        <w:overflowPunct/>
        <w:topLinePunct w:val="0"/>
        <w:autoSpaceDE/>
        <w:autoSpaceDN/>
        <w:bidi w:val="0"/>
        <w:adjustRightInd w:val="0"/>
        <w:snapToGrid w:val="0"/>
        <w:spacing w:before="0" w:beforeAutospacing="0" w:after="0" w:afterAutospacing="0" w:line="560" w:lineRule="exact"/>
        <w:ind w:left="0" w:right="0" w:firstLine="624"/>
        <w:jc w:val="both"/>
        <w:textAlignment w:val="baseline"/>
        <w:rPr>
          <w:rFonts w:hint="eastAsia" w:ascii="仿宋" w:hAnsi="仿宋" w:eastAsia="仿宋" w:cs="仿宋_GB2312"/>
          <w:color w:val="auto"/>
          <w:sz w:val="32"/>
          <w:szCs w:val="32"/>
          <w:lang w:val="en-US" w:eastAsia="zh-CN"/>
        </w:rPr>
      </w:pPr>
      <w:r>
        <w:rPr>
          <w:rFonts w:hint="eastAsia" w:ascii="仿宋" w:hAnsi="仿宋" w:eastAsia="仿宋" w:cs="仿宋"/>
          <w:color w:val="auto"/>
          <w:sz w:val="32"/>
          <w:szCs w:val="32"/>
          <w:highlight w:val="none"/>
          <w:lang w:eastAsia="zh-CN"/>
        </w:rPr>
        <w:t>（十</w:t>
      </w:r>
      <w:r>
        <w:rPr>
          <w:rFonts w:hint="eastAsia" w:ascii="仿宋" w:hAnsi="仿宋" w:eastAsia="仿宋"/>
          <w:color w:val="auto"/>
          <w:sz w:val="32"/>
          <w:szCs w:val="32"/>
          <w:lang w:eastAsia="zh-CN"/>
        </w:rPr>
        <w:t>五</w:t>
      </w:r>
      <w:r>
        <w:rPr>
          <w:rFonts w:hint="eastAsia" w:ascii="仿宋" w:hAnsi="仿宋" w:eastAsia="仿宋" w:cs="仿宋"/>
          <w:color w:val="auto"/>
          <w:sz w:val="32"/>
          <w:szCs w:val="32"/>
          <w:highlight w:val="none"/>
          <w:lang w:eastAsia="zh-CN"/>
        </w:rPr>
        <w:t>）</w:t>
      </w:r>
      <w:r>
        <w:rPr>
          <w:rFonts w:hint="eastAsia" w:ascii="仿宋" w:hAnsi="仿宋" w:eastAsia="仿宋" w:cs="仿宋_GB2312"/>
          <w:color w:val="auto"/>
          <w:sz w:val="32"/>
          <w:szCs w:val="32"/>
        </w:rPr>
        <w:t>该地块用地范围属于20</w:t>
      </w:r>
      <w:r>
        <w:rPr>
          <w:rFonts w:hint="eastAsia" w:ascii="仿宋" w:hAnsi="仿宋" w:eastAsia="仿宋" w:cs="仿宋_GB2312"/>
          <w:color w:val="auto"/>
          <w:sz w:val="32"/>
          <w:szCs w:val="32"/>
          <w:lang w:val="en-US" w:eastAsia="zh-CN"/>
        </w:rPr>
        <w:t>21</w:t>
      </w:r>
      <w:r>
        <w:rPr>
          <w:rFonts w:hint="eastAsia" w:ascii="仿宋" w:hAnsi="仿宋" w:eastAsia="仿宋" w:cs="仿宋_GB2312"/>
          <w:color w:val="auto"/>
          <w:sz w:val="32"/>
          <w:szCs w:val="32"/>
        </w:rPr>
        <w:t>年第</w:t>
      </w:r>
      <w:r>
        <w:rPr>
          <w:rFonts w:hint="eastAsia" w:ascii="仿宋" w:hAnsi="仿宋" w:eastAsia="仿宋" w:cs="仿宋_GB2312"/>
          <w:color w:val="auto"/>
          <w:sz w:val="32"/>
          <w:szCs w:val="32"/>
          <w:lang w:eastAsia="zh-CN"/>
        </w:rPr>
        <w:t>七</w:t>
      </w:r>
      <w:r>
        <w:rPr>
          <w:rFonts w:hint="eastAsia" w:ascii="仿宋" w:hAnsi="仿宋" w:eastAsia="仿宋" w:cs="仿宋_GB2312"/>
          <w:color w:val="auto"/>
          <w:sz w:val="32"/>
          <w:szCs w:val="32"/>
        </w:rPr>
        <w:t>批次的报批范围内（内政土发[20</w:t>
      </w:r>
      <w:r>
        <w:rPr>
          <w:rFonts w:hint="eastAsia" w:ascii="仿宋" w:hAnsi="仿宋" w:eastAsia="仿宋" w:cs="仿宋_GB2312"/>
          <w:color w:val="auto"/>
          <w:sz w:val="32"/>
          <w:szCs w:val="32"/>
          <w:lang w:val="en-US" w:eastAsia="zh-CN"/>
        </w:rPr>
        <w:t>21</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992</w:t>
      </w:r>
      <w:r>
        <w:rPr>
          <w:rFonts w:hint="eastAsia" w:ascii="仿宋" w:hAnsi="仿宋" w:eastAsia="仿宋" w:cs="仿宋_GB2312"/>
          <w:color w:val="auto"/>
          <w:sz w:val="32"/>
          <w:szCs w:val="32"/>
        </w:rPr>
        <w:t>号）</w:t>
      </w:r>
      <w:r>
        <w:rPr>
          <w:rFonts w:hint="eastAsia" w:ascii="仿宋" w:hAnsi="仿宋" w:eastAsia="仿宋" w:cs="仿宋_GB2312"/>
          <w:color w:val="auto"/>
          <w:sz w:val="32"/>
          <w:szCs w:val="32"/>
          <w:lang w:eastAsia="zh-CN"/>
        </w:rPr>
        <w:t>，</w:t>
      </w:r>
      <w:r>
        <w:rPr>
          <w:rFonts w:hint="eastAsia" w:ascii="仿宋" w:hAnsi="仿宋" w:eastAsia="仿宋" w:cs="仿宋"/>
          <w:color w:val="auto"/>
          <w:kern w:val="2"/>
          <w:sz w:val="32"/>
          <w:szCs w:val="32"/>
          <w:vertAlign w:val="baseline"/>
          <w:lang w:val="en-US" w:eastAsia="zh-CN" w:bidi="ar"/>
        </w:rPr>
        <w:t>未批先建属违法用地现按净地挂牌</w:t>
      </w:r>
      <w:r>
        <w:rPr>
          <w:rFonts w:hint="eastAsia" w:ascii="仿宋" w:hAnsi="仿宋" w:eastAsia="仿宋"/>
          <w:color w:val="auto"/>
          <w:sz w:val="32"/>
          <w:szCs w:val="32"/>
          <w:highlight w:val="none"/>
        </w:rPr>
        <w:t>现状</w:t>
      </w:r>
      <w:r>
        <w:rPr>
          <w:rFonts w:hint="eastAsia" w:ascii="仿宋" w:hAnsi="仿宋" w:eastAsia="仿宋"/>
          <w:color w:val="auto"/>
          <w:sz w:val="32"/>
          <w:szCs w:val="32"/>
          <w:highlight w:val="none"/>
          <w:lang w:eastAsia="zh-CN"/>
        </w:rPr>
        <w:t>交付</w:t>
      </w:r>
      <w:r>
        <w:rPr>
          <w:rFonts w:hint="eastAsia" w:ascii="仿宋" w:hAnsi="仿宋" w:eastAsia="仿宋"/>
          <w:color w:val="auto"/>
          <w:sz w:val="32"/>
          <w:szCs w:val="32"/>
          <w:highlight w:val="none"/>
        </w:rPr>
        <w:t>，地上建筑物由</w:t>
      </w:r>
      <w:r>
        <w:rPr>
          <w:rFonts w:hint="eastAsia" w:ascii="仿宋" w:hAnsi="仿宋" w:eastAsia="仿宋"/>
          <w:color w:val="auto"/>
          <w:sz w:val="32"/>
          <w:szCs w:val="32"/>
          <w:highlight w:val="none"/>
          <w:lang w:eastAsia="zh-CN"/>
        </w:rPr>
        <w:t>竞得人自行协商</w:t>
      </w:r>
      <w:r>
        <w:rPr>
          <w:rFonts w:hint="eastAsia" w:ascii="仿宋" w:hAnsi="仿宋" w:eastAsia="仿宋"/>
          <w:color w:val="auto"/>
          <w:sz w:val="32"/>
          <w:szCs w:val="32"/>
          <w:highlight w:val="none"/>
        </w:rPr>
        <w:t>解决</w:t>
      </w:r>
      <w:r>
        <w:rPr>
          <w:rFonts w:hint="eastAsia" w:ascii="仿宋" w:hAnsi="仿宋" w:eastAsia="仿宋"/>
          <w:color w:val="auto"/>
          <w:sz w:val="32"/>
          <w:szCs w:val="32"/>
          <w:highlight w:val="none"/>
          <w:lang w:eastAsia="zh-CN"/>
        </w:rPr>
        <w:t>。</w:t>
      </w:r>
    </w:p>
    <w:p>
      <w:pPr>
        <w:keepNext w:val="0"/>
        <w:keepLines w:val="0"/>
        <w:pageBreakBefore w:val="0"/>
        <w:kinsoku/>
        <w:wordWrap/>
        <w:overflowPunct/>
        <w:topLinePunct w:val="0"/>
        <w:autoSpaceDE/>
        <w:autoSpaceDN/>
        <w:bidi w:val="0"/>
        <w:adjustRightInd w:val="0"/>
        <w:snapToGrid w:val="0"/>
        <w:spacing w:after="0" w:line="560" w:lineRule="exact"/>
        <w:ind w:firstLine="624"/>
        <w:textAlignment w:val="baseline"/>
        <w:rPr>
          <w:rFonts w:hint="eastAsia" w:ascii="仿宋" w:hAnsi="仿宋" w:eastAsia="仿宋" w:cs="仿宋"/>
          <w:color w:val="auto"/>
          <w:sz w:val="32"/>
          <w:szCs w:val="32"/>
          <w:highlight w:val="none"/>
        </w:rPr>
      </w:pPr>
      <w:r>
        <w:rPr>
          <w:rFonts w:hint="eastAsia" w:ascii="仿宋" w:hAnsi="仿宋" w:eastAsia="仿宋"/>
          <w:color w:val="auto"/>
          <w:sz w:val="32"/>
          <w:szCs w:val="32"/>
          <w:lang w:eastAsia="zh-CN"/>
        </w:rPr>
        <w:t>该项目用地</w:t>
      </w:r>
      <w:r>
        <w:rPr>
          <w:rFonts w:hint="eastAsia" w:ascii="仿宋" w:hAnsi="仿宋" w:eastAsia="仿宋"/>
          <w:color w:val="auto"/>
          <w:sz w:val="32"/>
          <w:szCs w:val="32"/>
        </w:rPr>
        <w:t>范围内如有树木、供电设施等，受让人可结合规划设计方案保留，对不需要保留的，由受让人自行与有关部门解决，并承担所需费用。如需要考古或地下有构筑物、其他设施等，由受让人自行与有关部门协商解决，并承担所需费用。</w:t>
      </w:r>
    </w:p>
    <w:p>
      <w:pPr>
        <w:spacing w:line="538" w:lineRule="exact"/>
        <w:ind w:left="0" w:firstLine="640" w:firstLineChars="200"/>
        <w:rPr>
          <w:rFonts w:hint="eastAsia" w:ascii="仿宋" w:hAnsi="仿宋" w:eastAsia="仿宋"/>
          <w:color w:val="auto"/>
          <w:sz w:val="32"/>
          <w:szCs w:val="32"/>
        </w:rPr>
      </w:pPr>
      <w:r>
        <w:rPr>
          <w:rFonts w:hint="eastAsia" w:ascii="仿宋" w:hAnsi="仿宋" w:eastAsia="仿宋"/>
          <w:color w:val="auto"/>
          <w:sz w:val="32"/>
          <w:szCs w:val="32"/>
        </w:rPr>
        <w:t>（十</w:t>
      </w:r>
      <w:r>
        <w:rPr>
          <w:rFonts w:hint="eastAsia" w:ascii="仿宋" w:hAnsi="仿宋" w:eastAsia="仿宋"/>
          <w:color w:val="auto"/>
          <w:sz w:val="32"/>
          <w:szCs w:val="32"/>
          <w:lang w:eastAsia="zh-CN"/>
        </w:rPr>
        <w:t>六</w:t>
      </w:r>
      <w:r>
        <w:rPr>
          <w:rFonts w:hint="eastAsia" w:ascii="仿宋" w:hAnsi="仿宋" w:eastAsia="仿宋"/>
          <w:color w:val="auto"/>
          <w:sz w:val="32"/>
          <w:szCs w:val="32"/>
        </w:rPr>
        <w:t>）其他要求：出让地块的空间范围须符合城市规划管理的有关</w:t>
      </w:r>
      <w:r>
        <w:rPr>
          <w:rFonts w:hint="eastAsia" w:ascii="仿宋" w:hAnsi="仿宋" w:eastAsia="仿宋" w:cs="仿宋"/>
          <w:color w:val="auto"/>
          <w:sz w:val="32"/>
          <w:szCs w:val="32"/>
          <w:highlight w:val="none"/>
        </w:rPr>
        <w:t>要求，必须严格按照《内蒙古自治区建设用地规划条件书》（条字第：</w:t>
      </w:r>
      <w:r>
        <w:rPr>
          <w:rFonts w:hint="eastAsia" w:ascii="仿宋" w:hAnsi="仿宋" w:eastAsia="仿宋"/>
          <w:color w:val="auto"/>
          <w:kern w:val="0"/>
          <w:sz w:val="32"/>
          <w:szCs w:val="32"/>
        </w:rPr>
        <w:t>15030220</w:t>
      </w:r>
      <w:r>
        <w:rPr>
          <w:rFonts w:hint="eastAsia" w:ascii="仿宋" w:hAnsi="仿宋" w:eastAsia="仿宋"/>
          <w:color w:val="auto"/>
          <w:kern w:val="0"/>
          <w:sz w:val="32"/>
          <w:szCs w:val="32"/>
          <w:lang w:val="en-US" w:eastAsia="zh-CN"/>
        </w:rPr>
        <w:t>2200017</w:t>
      </w:r>
      <w:r>
        <w:rPr>
          <w:rFonts w:hint="eastAsia" w:ascii="仿宋" w:hAnsi="仿宋" w:eastAsia="仿宋" w:cs="仿宋"/>
          <w:color w:val="auto"/>
          <w:sz w:val="32"/>
          <w:szCs w:val="32"/>
          <w:highlight w:val="none"/>
        </w:rPr>
        <w:t>号）的有关要求进行建设。</w:t>
      </w:r>
    </w:p>
    <w:p>
      <w:pPr>
        <w:spacing w:line="538" w:lineRule="exact"/>
        <w:ind w:left="0" w:firstLine="643" w:firstLineChars="200"/>
        <w:rPr>
          <w:rFonts w:ascii="仿宋" w:hAnsi="仿宋" w:eastAsia="仿宋"/>
          <w:b/>
          <w:color w:val="auto"/>
          <w:sz w:val="32"/>
          <w:szCs w:val="32"/>
        </w:rPr>
      </w:pPr>
      <w:r>
        <w:rPr>
          <w:rFonts w:hint="eastAsia" w:ascii="仿宋" w:hAnsi="仿宋" w:eastAsia="仿宋"/>
          <w:b/>
          <w:color w:val="auto"/>
          <w:sz w:val="32"/>
          <w:szCs w:val="32"/>
          <w:lang w:eastAsia="zh-CN"/>
        </w:rPr>
        <w:t>四</w:t>
      </w:r>
      <w:r>
        <w:rPr>
          <w:rFonts w:hint="eastAsia" w:ascii="仿宋" w:hAnsi="仿宋" w:eastAsia="仿宋"/>
          <w:b/>
          <w:color w:val="auto"/>
          <w:sz w:val="32"/>
          <w:szCs w:val="32"/>
        </w:rPr>
        <w:t>号地块</w:t>
      </w:r>
    </w:p>
    <w:p>
      <w:pPr>
        <w:spacing w:line="538" w:lineRule="exact"/>
        <w:ind w:left="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（一）地块位置：</w:t>
      </w:r>
      <w:r>
        <w:rPr>
          <w:rFonts w:hint="eastAsia" w:ascii="仿宋" w:hAnsi="仿宋" w:eastAsia="仿宋" w:cs="仿宋"/>
          <w:color w:val="auto"/>
          <w:kern w:val="0"/>
          <w:sz w:val="32"/>
          <w:szCs w:val="32"/>
          <w:lang w:val="en-US" w:eastAsia="zh-CN"/>
        </w:rPr>
        <w:t>新西线东侧、卡布其长虹沟北侧</w:t>
      </w:r>
      <w:r>
        <w:rPr>
          <w:rFonts w:hint="eastAsia" w:ascii="仿宋" w:hAnsi="仿宋" w:eastAsia="仿宋" w:cs="仿宋"/>
          <w:color w:val="auto"/>
          <w:sz w:val="32"/>
          <w:szCs w:val="32"/>
          <w:highlight w:val="none"/>
          <w:lang w:val="en-US" w:eastAsia="zh-CN"/>
        </w:rPr>
        <w:t>；</w:t>
      </w:r>
    </w:p>
    <w:p>
      <w:pPr>
        <w:spacing w:line="538" w:lineRule="exact"/>
        <w:ind w:left="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（二）出让面积：</w:t>
      </w:r>
      <w:r>
        <w:rPr>
          <w:rFonts w:hint="eastAsia" w:ascii="仿宋" w:hAnsi="仿宋" w:eastAsia="仿宋"/>
          <w:color w:val="auto"/>
          <w:sz w:val="32"/>
          <w:szCs w:val="32"/>
          <w:lang w:val="en-US" w:eastAsia="zh-CN"/>
        </w:rPr>
        <w:t>13880.71</w:t>
      </w:r>
      <w:r>
        <w:rPr>
          <w:rFonts w:hint="eastAsia" w:ascii="仿宋" w:hAnsi="仿宋" w:eastAsia="仿宋"/>
          <w:color w:val="auto"/>
          <w:sz w:val="32"/>
          <w:szCs w:val="32"/>
        </w:rPr>
        <w:t>平方米(约</w:t>
      </w:r>
      <w:r>
        <w:rPr>
          <w:rFonts w:hint="eastAsia" w:ascii="仿宋" w:hAnsi="仿宋" w:eastAsia="仿宋"/>
          <w:color w:val="auto"/>
          <w:sz w:val="32"/>
          <w:szCs w:val="32"/>
          <w:lang w:val="en-US" w:eastAsia="zh-CN"/>
        </w:rPr>
        <w:t>20.82</w:t>
      </w:r>
      <w:r>
        <w:rPr>
          <w:rFonts w:hint="eastAsia" w:ascii="仿宋" w:hAnsi="仿宋" w:eastAsia="仿宋"/>
          <w:color w:val="auto"/>
          <w:sz w:val="32"/>
          <w:szCs w:val="32"/>
        </w:rPr>
        <w:t>亩)</w:t>
      </w:r>
      <w:r>
        <w:rPr>
          <w:rFonts w:hint="eastAsia" w:ascii="仿宋" w:hAnsi="仿宋" w:eastAsia="仿宋" w:cs="仿宋"/>
          <w:color w:val="auto"/>
          <w:sz w:val="32"/>
          <w:szCs w:val="32"/>
          <w:highlight w:val="none"/>
          <w:lang w:val="en-US" w:eastAsia="zh-CN"/>
        </w:rPr>
        <w:t>；</w:t>
      </w:r>
    </w:p>
    <w:p>
      <w:pPr>
        <w:spacing w:line="538" w:lineRule="exact"/>
        <w:ind w:left="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（三）土地用途：工业用地；</w:t>
      </w:r>
    </w:p>
    <w:p>
      <w:pPr>
        <w:spacing w:line="538" w:lineRule="exact"/>
        <w:ind w:left="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（四）使用年期：工业50年；</w:t>
      </w:r>
    </w:p>
    <w:p>
      <w:pPr>
        <w:spacing w:line="538" w:lineRule="exact"/>
        <w:ind w:left="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（五）建设时间：出让合同约定的动工开发期限内动工，</w:t>
      </w:r>
      <w:r>
        <w:rPr>
          <w:rFonts w:hint="eastAsia" w:ascii="仿宋" w:hAnsi="仿宋" w:eastAsia="仿宋" w:cs="仿宋"/>
          <w:color w:val="auto"/>
          <w:sz w:val="32"/>
          <w:szCs w:val="32"/>
          <w:highlight w:val="none"/>
          <w:lang w:eastAsia="zh-CN"/>
        </w:rPr>
        <w:t>二</w:t>
      </w:r>
      <w:r>
        <w:rPr>
          <w:rFonts w:hint="eastAsia" w:ascii="仿宋" w:hAnsi="仿宋" w:eastAsia="仿宋" w:cs="仿宋"/>
          <w:color w:val="auto"/>
          <w:sz w:val="32"/>
          <w:szCs w:val="32"/>
          <w:highlight w:val="none"/>
        </w:rPr>
        <w:t>年内建设完成；</w:t>
      </w:r>
    </w:p>
    <w:p>
      <w:pPr>
        <w:spacing w:line="538" w:lineRule="exact"/>
        <w:ind w:left="0" w:firstLine="640" w:firstLineChars="200"/>
        <w:rPr>
          <w:rFonts w:hint="eastAsia" w:ascii="仿宋" w:hAnsi="仿宋" w:eastAsia="仿宋"/>
          <w:color w:val="auto"/>
          <w:sz w:val="32"/>
          <w:szCs w:val="32"/>
        </w:rPr>
      </w:pPr>
      <w:r>
        <w:rPr>
          <w:rFonts w:hint="eastAsia" w:ascii="仿宋" w:hAnsi="仿宋" w:eastAsia="仿宋"/>
          <w:color w:val="auto"/>
          <w:sz w:val="32"/>
          <w:szCs w:val="32"/>
        </w:rPr>
        <w:t>（六）规划用地性质：</w:t>
      </w:r>
      <w:r>
        <w:rPr>
          <w:rFonts w:hint="eastAsia" w:ascii="仿宋" w:hAnsi="仿宋" w:eastAsia="仿宋" w:cs="仿宋"/>
          <w:color w:val="auto"/>
          <w:sz w:val="32"/>
          <w:szCs w:val="32"/>
          <w:highlight w:val="none"/>
          <w:lang w:val="en-US" w:eastAsia="zh-CN"/>
        </w:rPr>
        <w:t>工业用地；</w:t>
      </w:r>
    </w:p>
    <w:p>
      <w:pPr>
        <w:spacing w:line="538" w:lineRule="exact"/>
        <w:ind w:left="0" w:firstLine="640" w:firstLineChars="200"/>
        <w:rPr>
          <w:rFonts w:hint="eastAsia" w:ascii="仿宋" w:hAnsi="仿宋" w:eastAsia="仿宋"/>
          <w:color w:val="auto"/>
          <w:sz w:val="32"/>
          <w:szCs w:val="32"/>
        </w:rPr>
      </w:pPr>
      <w:r>
        <w:rPr>
          <w:rFonts w:hint="eastAsia" w:ascii="仿宋" w:hAnsi="仿宋" w:eastAsia="仿宋"/>
          <w:color w:val="auto"/>
          <w:sz w:val="32"/>
          <w:szCs w:val="32"/>
        </w:rPr>
        <w:t>（七）容积率：</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0.7</w:t>
      </w:r>
      <w:r>
        <w:rPr>
          <w:rFonts w:hint="eastAsia" w:ascii="仿宋" w:hAnsi="仿宋" w:eastAsia="仿宋"/>
          <w:color w:val="auto"/>
          <w:sz w:val="32"/>
          <w:szCs w:val="32"/>
        </w:rPr>
        <w:t>；</w:t>
      </w:r>
    </w:p>
    <w:p>
      <w:pPr>
        <w:spacing w:line="538" w:lineRule="exact"/>
        <w:ind w:left="0"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lang w:eastAsia="zh-CN"/>
        </w:rPr>
        <w:t>（八）</w:t>
      </w:r>
      <w:r>
        <w:rPr>
          <w:rFonts w:hint="eastAsia" w:ascii="仿宋" w:hAnsi="仿宋" w:eastAsia="仿宋"/>
          <w:color w:val="auto"/>
          <w:sz w:val="32"/>
          <w:szCs w:val="32"/>
        </w:rPr>
        <w:t>建筑限高：</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20米</w:t>
      </w:r>
      <w:r>
        <w:rPr>
          <w:rFonts w:hint="eastAsia" w:ascii="仿宋" w:hAnsi="仿宋" w:eastAsia="仿宋"/>
          <w:color w:val="auto"/>
          <w:sz w:val="32"/>
          <w:szCs w:val="32"/>
          <w:lang w:eastAsia="zh-CN"/>
        </w:rPr>
        <w:t>；</w:t>
      </w:r>
    </w:p>
    <w:p>
      <w:pPr>
        <w:spacing w:line="538" w:lineRule="exact"/>
        <w:ind w:left="0"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rPr>
        <w:t>（</w:t>
      </w:r>
      <w:r>
        <w:rPr>
          <w:rFonts w:hint="eastAsia" w:ascii="仿宋" w:hAnsi="仿宋" w:eastAsia="仿宋"/>
          <w:color w:val="auto"/>
          <w:sz w:val="32"/>
          <w:szCs w:val="32"/>
          <w:lang w:eastAsia="zh-CN"/>
        </w:rPr>
        <w:t>九</w:t>
      </w:r>
      <w:r>
        <w:rPr>
          <w:rFonts w:hint="eastAsia" w:ascii="仿宋" w:hAnsi="仿宋" w:eastAsia="仿宋"/>
          <w:color w:val="auto"/>
          <w:sz w:val="32"/>
          <w:szCs w:val="32"/>
        </w:rPr>
        <w:t>）</w:t>
      </w:r>
      <w:r>
        <w:rPr>
          <w:rFonts w:hint="eastAsia" w:ascii="仿宋" w:hAnsi="仿宋" w:eastAsia="仿宋"/>
          <w:color w:val="auto"/>
          <w:sz w:val="32"/>
          <w:szCs w:val="32"/>
          <w:lang w:val="en-US" w:eastAsia="zh-CN"/>
        </w:rPr>
        <w:t>绿地率：</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20%</w:t>
      </w:r>
      <w:r>
        <w:rPr>
          <w:rFonts w:hint="eastAsia" w:ascii="仿宋" w:hAnsi="仿宋" w:eastAsia="仿宋"/>
          <w:color w:val="auto"/>
          <w:sz w:val="32"/>
          <w:szCs w:val="32"/>
        </w:rPr>
        <w:t>；</w:t>
      </w:r>
    </w:p>
    <w:p>
      <w:pPr>
        <w:spacing w:line="538" w:lineRule="exact"/>
        <w:ind w:left="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十</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rPr>
        <w:t>建筑</w:t>
      </w:r>
      <w:r>
        <w:rPr>
          <w:rFonts w:hint="eastAsia" w:ascii="仿宋" w:hAnsi="仿宋" w:eastAsia="仿宋" w:cs="仿宋"/>
          <w:color w:val="auto"/>
          <w:sz w:val="32"/>
          <w:szCs w:val="32"/>
          <w:lang w:eastAsia="zh-CN"/>
        </w:rPr>
        <w:t>系数</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lang w:val="en-US" w:eastAsia="zh-CN"/>
        </w:rPr>
        <w:t>≥30%</w:t>
      </w:r>
      <w:r>
        <w:rPr>
          <w:rFonts w:hint="eastAsia" w:ascii="仿宋" w:hAnsi="仿宋" w:eastAsia="仿宋" w:cs="仿宋"/>
          <w:color w:val="auto"/>
          <w:sz w:val="32"/>
          <w:szCs w:val="32"/>
          <w:highlight w:val="none"/>
        </w:rPr>
        <w:t>；</w:t>
      </w:r>
    </w:p>
    <w:p>
      <w:pPr>
        <w:spacing w:line="538" w:lineRule="exact"/>
        <w:ind w:left="0" w:firstLine="640" w:firstLineChars="20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（十一）</w:t>
      </w:r>
      <w:r>
        <w:rPr>
          <w:rFonts w:hint="eastAsia" w:ascii="仿宋" w:hAnsi="仿宋" w:eastAsia="仿宋" w:cs="仿宋"/>
          <w:color w:val="auto"/>
          <w:sz w:val="32"/>
          <w:szCs w:val="32"/>
          <w:highlight w:val="none"/>
          <w:lang w:val="en-US" w:eastAsia="zh-CN"/>
        </w:rPr>
        <w:t>投资强度：≥625万元/公顷；</w:t>
      </w:r>
    </w:p>
    <w:p>
      <w:pPr>
        <w:spacing w:line="538" w:lineRule="exact"/>
        <w:ind w:left="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（十二）</w:t>
      </w:r>
      <w:r>
        <w:rPr>
          <w:rFonts w:hint="eastAsia" w:ascii="仿宋" w:hAnsi="仿宋" w:eastAsia="仿宋" w:cs="仿宋"/>
          <w:color w:val="auto"/>
          <w:sz w:val="32"/>
          <w:szCs w:val="32"/>
          <w:highlight w:val="none"/>
        </w:rPr>
        <w:t>建筑退线要求：满足规划设计条件要求；</w:t>
      </w:r>
    </w:p>
    <w:p>
      <w:pPr>
        <w:spacing w:line="538" w:lineRule="exact"/>
        <w:ind w:left="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（十三）</w:t>
      </w:r>
      <w:r>
        <w:rPr>
          <w:rFonts w:hint="eastAsia" w:ascii="仿宋" w:hAnsi="仿宋" w:eastAsia="仿宋" w:cs="仿宋"/>
          <w:color w:val="auto"/>
          <w:sz w:val="32"/>
          <w:szCs w:val="32"/>
          <w:highlight w:val="none"/>
        </w:rPr>
        <w:t>出让地块的空间范围须符合城市规划管理的有关要求；</w:t>
      </w:r>
    </w:p>
    <w:p>
      <w:pPr>
        <w:spacing w:line="538" w:lineRule="exact"/>
        <w:ind w:left="0"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（十四）</w:t>
      </w:r>
      <w:r>
        <w:rPr>
          <w:rFonts w:hint="eastAsia" w:ascii="仿宋" w:hAnsi="仿宋" w:eastAsia="仿宋" w:cs="仿宋"/>
          <w:color w:val="auto"/>
          <w:sz w:val="32"/>
          <w:szCs w:val="32"/>
          <w:highlight w:val="none"/>
        </w:rPr>
        <w:t>其他规划要求以规划条件书为准。</w:t>
      </w:r>
    </w:p>
    <w:p>
      <w:pPr>
        <w:keepNext w:val="0"/>
        <w:keepLines w:val="0"/>
        <w:pageBreakBefore w:val="0"/>
        <w:widowControl w:val="0"/>
        <w:suppressLineNumbers w:val="0"/>
        <w:tabs>
          <w:tab w:val="left" w:pos="7560"/>
        </w:tabs>
        <w:kinsoku/>
        <w:wordWrap/>
        <w:overflowPunct/>
        <w:topLinePunct w:val="0"/>
        <w:autoSpaceDE/>
        <w:autoSpaceDN/>
        <w:bidi w:val="0"/>
        <w:adjustRightInd w:val="0"/>
        <w:snapToGrid w:val="0"/>
        <w:spacing w:before="0" w:beforeAutospacing="0" w:after="0" w:afterAutospacing="0" w:line="560" w:lineRule="exact"/>
        <w:ind w:left="0" w:right="0" w:firstLine="624"/>
        <w:jc w:val="both"/>
        <w:textAlignment w:val="baseline"/>
        <w:rPr>
          <w:rFonts w:hint="eastAsia" w:ascii="仿宋" w:hAnsi="仿宋" w:eastAsia="仿宋" w:cs="仿宋_GB2312"/>
          <w:color w:val="auto"/>
          <w:sz w:val="32"/>
          <w:szCs w:val="32"/>
          <w:lang w:val="en-US" w:eastAsia="zh-CN"/>
        </w:rPr>
      </w:pPr>
      <w:r>
        <w:rPr>
          <w:rFonts w:hint="eastAsia" w:ascii="仿宋" w:hAnsi="仿宋" w:eastAsia="仿宋" w:cs="仿宋"/>
          <w:color w:val="auto"/>
          <w:sz w:val="32"/>
          <w:szCs w:val="32"/>
          <w:highlight w:val="none"/>
          <w:lang w:eastAsia="zh-CN"/>
        </w:rPr>
        <w:t>（十</w:t>
      </w:r>
      <w:r>
        <w:rPr>
          <w:rFonts w:hint="eastAsia" w:ascii="仿宋" w:hAnsi="仿宋" w:eastAsia="仿宋"/>
          <w:color w:val="auto"/>
          <w:sz w:val="32"/>
          <w:szCs w:val="32"/>
          <w:lang w:eastAsia="zh-CN"/>
        </w:rPr>
        <w:t>五</w:t>
      </w:r>
      <w:r>
        <w:rPr>
          <w:rFonts w:hint="eastAsia" w:ascii="仿宋" w:hAnsi="仿宋" w:eastAsia="仿宋" w:cs="仿宋"/>
          <w:color w:val="auto"/>
          <w:sz w:val="32"/>
          <w:szCs w:val="32"/>
          <w:highlight w:val="none"/>
          <w:lang w:eastAsia="zh-CN"/>
        </w:rPr>
        <w:t>）</w:t>
      </w:r>
      <w:r>
        <w:rPr>
          <w:rFonts w:hint="eastAsia" w:ascii="仿宋" w:hAnsi="仿宋" w:eastAsia="仿宋" w:cs="仿宋_GB2312"/>
          <w:color w:val="auto"/>
          <w:sz w:val="32"/>
          <w:szCs w:val="32"/>
        </w:rPr>
        <w:t>该地块用地范围属于</w:t>
      </w:r>
      <w:r>
        <w:rPr>
          <w:rFonts w:hint="eastAsia" w:ascii="仿宋" w:hAnsi="仿宋" w:eastAsia="仿宋" w:cs="仿宋_GB2312"/>
          <w:color w:val="auto"/>
          <w:sz w:val="32"/>
          <w:szCs w:val="32"/>
          <w:lang w:eastAsia="zh-CN"/>
        </w:rPr>
        <w:t>关于乌海市宏丰工贸有限公司年产</w:t>
      </w:r>
      <w:r>
        <w:rPr>
          <w:rFonts w:hint="eastAsia" w:ascii="仿宋" w:hAnsi="仿宋" w:eastAsia="仿宋" w:cs="仿宋_GB2312"/>
          <w:color w:val="auto"/>
          <w:sz w:val="32"/>
          <w:szCs w:val="32"/>
          <w:lang w:val="en-US" w:eastAsia="zh-CN"/>
        </w:rPr>
        <w:t>30万吨脱硫剂项目建设用地的批复</w:t>
      </w:r>
      <w:r>
        <w:rPr>
          <w:rFonts w:hint="eastAsia" w:ascii="仿宋" w:hAnsi="仿宋" w:eastAsia="仿宋" w:cs="仿宋_GB2312"/>
          <w:color w:val="auto"/>
          <w:sz w:val="32"/>
          <w:szCs w:val="32"/>
        </w:rPr>
        <w:t>范围内（内政土发[20</w:t>
      </w:r>
      <w:r>
        <w:rPr>
          <w:rFonts w:hint="eastAsia" w:ascii="仿宋" w:hAnsi="仿宋" w:eastAsia="仿宋" w:cs="仿宋_GB2312"/>
          <w:color w:val="auto"/>
          <w:sz w:val="32"/>
          <w:szCs w:val="32"/>
          <w:lang w:val="en-US" w:eastAsia="zh-CN"/>
        </w:rPr>
        <w:t>22</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459</w:t>
      </w:r>
      <w:r>
        <w:rPr>
          <w:rFonts w:hint="eastAsia" w:ascii="仿宋" w:hAnsi="仿宋" w:eastAsia="仿宋" w:cs="仿宋_GB2312"/>
          <w:color w:val="auto"/>
          <w:sz w:val="32"/>
          <w:szCs w:val="32"/>
        </w:rPr>
        <w:t>号）</w:t>
      </w:r>
      <w:r>
        <w:rPr>
          <w:rFonts w:hint="eastAsia" w:ascii="仿宋" w:hAnsi="仿宋" w:eastAsia="仿宋" w:cs="仿宋_GB2312"/>
          <w:color w:val="auto"/>
          <w:sz w:val="32"/>
          <w:szCs w:val="32"/>
          <w:lang w:eastAsia="zh-CN"/>
        </w:rPr>
        <w:t>，</w:t>
      </w:r>
      <w:r>
        <w:rPr>
          <w:rFonts w:hint="eastAsia" w:ascii="仿宋" w:hAnsi="仿宋" w:eastAsia="仿宋" w:cs="仿宋"/>
          <w:color w:val="auto"/>
          <w:kern w:val="2"/>
          <w:sz w:val="32"/>
          <w:szCs w:val="32"/>
          <w:vertAlign w:val="baseline"/>
          <w:lang w:val="en-US" w:eastAsia="zh-CN" w:bidi="ar"/>
        </w:rPr>
        <w:t>未批先建属违法用地现按净地挂牌</w:t>
      </w:r>
      <w:r>
        <w:rPr>
          <w:rFonts w:hint="eastAsia" w:ascii="仿宋" w:hAnsi="仿宋" w:eastAsia="仿宋"/>
          <w:color w:val="auto"/>
          <w:sz w:val="32"/>
          <w:szCs w:val="32"/>
          <w:highlight w:val="none"/>
        </w:rPr>
        <w:t>现状</w:t>
      </w:r>
      <w:r>
        <w:rPr>
          <w:rFonts w:hint="eastAsia" w:ascii="仿宋" w:hAnsi="仿宋" w:eastAsia="仿宋"/>
          <w:color w:val="auto"/>
          <w:sz w:val="32"/>
          <w:szCs w:val="32"/>
          <w:highlight w:val="none"/>
          <w:lang w:eastAsia="zh-CN"/>
        </w:rPr>
        <w:t>交付</w:t>
      </w:r>
      <w:r>
        <w:rPr>
          <w:rFonts w:hint="eastAsia" w:ascii="仿宋" w:hAnsi="仿宋" w:eastAsia="仿宋"/>
          <w:color w:val="auto"/>
          <w:sz w:val="32"/>
          <w:szCs w:val="32"/>
          <w:highlight w:val="none"/>
        </w:rPr>
        <w:t>，地上建筑物由</w:t>
      </w:r>
      <w:r>
        <w:rPr>
          <w:rFonts w:hint="eastAsia" w:ascii="仿宋" w:hAnsi="仿宋" w:eastAsia="仿宋"/>
          <w:color w:val="auto"/>
          <w:sz w:val="32"/>
          <w:szCs w:val="32"/>
          <w:highlight w:val="none"/>
          <w:lang w:eastAsia="zh-CN"/>
        </w:rPr>
        <w:t>竞得人自行协商</w:t>
      </w:r>
      <w:r>
        <w:rPr>
          <w:rFonts w:hint="eastAsia" w:ascii="仿宋" w:hAnsi="仿宋" w:eastAsia="仿宋"/>
          <w:color w:val="auto"/>
          <w:sz w:val="32"/>
          <w:szCs w:val="32"/>
          <w:highlight w:val="none"/>
        </w:rPr>
        <w:t>解决</w:t>
      </w:r>
      <w:r>
        <w:rPr>
          <w:rFonts w:hint="eastAsia" w:ascii="仿宋" w:hAnsi="仿宋" w:eastAsia="仿宋"/>
          <w:color w:val="auto"/>
          <w:sz w:val="32"/>
          <w:szCs w:val="32"/>
          <w:highlight w:val="none"/>
          <w:lang w:eastAsia="zh-CN"/>
        </w:rPr>
        <w:t>。</w:t>
      </w:r>
    </w:p>
    <w:p>
      <w:pPr>
        <w:keepNext w:val="0"/>
        <w:keepLines w:val="0"/>
        <w:pageBreakBefore w:val="0"/>
        <w:kinsoku/>
        <w:wordWrap/>
        <w:overflowPunct/>
        <w:topLinePunct w:val="0"/>
        <w:autoSpaceDE/>
        <w:autoSpaceDN/>
        <w:bidi w:val="0"/>
        <w:adjustRightInd w:val="0"/>
        <w:snapToGrid w:val="0"/>
        <w:spacing w:after="0" w:line="560" w:lineRule="exact"/>
        <w:ind w:firstLine="624"/>
        <w:textAlignment w:val="baseline"/>
        <w:rPr>
          <w:rFonts w:hint="eastAsia" w:ascii="仿宋" w:hAnsi="仿宋" w:eastAsia="仿宋" w:cs="仿宋"/>
          <w:color w:val="auto"/>
          <w:sz w:val="32"/>
          <w:szCs w:val="32"/>
          <w:highlight w:val="none"/>
        </w:rPr>
      </w:pPr>
      <w:r>
        <w:rPr>
          <w:rFonts w:hint="eastAsia" w:ascii="仿宋" w:hAnsi="仿宋" w:eastAsia="仿宋"/>
          <w:color w:val="auto"/>
          <w:sz w:val="32"/>
          <w:szCs w:val="32"/>
          <w:lang w:eastAsia="zh-CN"/>
        </w:rPr>
        <w:t>该项目用地</w:t>
      </w:r>
      <w:r>
        <w:rPr>
          <w:rFonts w:hint="eastAsia" w:ascii="仿宋" w:hAnsi="仿宋" w:eastAsia="仿宋"/>
          <w:color w:val="auto"/>
          <w:sz w:val="32"/>
          <w:szCs w:val="32"/>
        </w:rPr>
        <w:t>范围内如有树木、供电设施等，受让人可结合规划设计方案保留，对不需要保留的，由受让人自行与有关部门解决，并承担所需费用。如需要考古或地下有构筑物、其他设施等，由受让人自行与有关部门协商解决，并承担所需费用。</w:t>
      </w:r>
    </w:p>
    <w:p>
      <w:pPr>
        <w:spacing w:line="538" w:lineRule="exact"/>
        <w:ind w:left="0" w:firstLine="640" w:firstLineChars="200"/>
        <w:rPr>
          <w:rFonts w:hint="eastAsia" w:ascii="仿宋" w:hAnsi="仿宋" w:eastAsia="仿宋"/>
          <w:color w:val="auto"/>
          <w:sz w:val="32"/>
          <w:szCs w:val="32"/>
        </w:rPr>
      </w:pPr>
      <w:r>
        <w:rPr>
          <w:rFonts w:hint="eastAsia" w:ascii="仿宋" w:hAnsi="仿宋" w:eastAsia="仿宋"/>
          <w:color w:val="auto"/>
          <w:sz w:val="32"/>
          <w:szCs w:val="32"/>
        </w:rPr>
        <w:t>（十</w:t>
      </w:r>
      <w:r>
        <w:rPr>
          <w:rFonts w:hint="eastAsia" w:ascii="仿宋" w:hAnsi="仿宋" w:eastAsia="仿宋"/>
          <w:color w:val="auto"/>
          <w:sz w:val="32"/>
          <w:szCs w:val="32"/>
          <w:lang w:eastAsia="zh-CN"/>
        </w:rPr>
        <w:t>六</w:t>
      </w:r>
      <w:r>
        <w:rPr>
          <w:rFonts w:hint="eastAsia" w:ascii="仿宋" w:hAnsi="仿宋" w:eastAsia="仿宋"/>
          <w:color w:val="auto"/>
          <w:sz w:val="32"/>
          <w:szCs w:val="32"/>
        </w:rPr>
        <w:t>）其他要求：出让地块的空间范围须符合城市规划管理的有关</w:t>
      </w:r>
      <w:r>
        <w:rPr>
          <w:rFonts w:hint="eastAsia" w:ascii="仿宋" w:hAnsi="仿宋" w:eastAsia="仿宋" w:cs="仿宋"/>
          <w:color w:val="auto"/>
          <w:sz w:val="32"/>
          <w:szCs w:val="32"/>
          <w:highlight w:val="none"/>
        </w:rPr>
        <w:t>要求，必须严格按照《内蒙古自治区建设用地规划条件书》（条字第：</w:t>
      </w:r>
      <w:r>
        <w:rPr>
          <w:rFonts w:hint="eastAsia" w:ascii="仿宋" w:hAnsi="仿宋" w:eastAsia="仿宋" w:cs="仿宋"/>
          <w:color w:val="auto"/>
          <w:sz w:val="32"/>
          <w:szCs w:val="32"/>
          <w:highlight w:val="none"/>
          <w:lang w:eastAsia="zh-CN"/>
        </w:rPr>
        <w:t>15030220</w:t>
      </w:r>
      <w:r>
        <w:rPr>
          <w:rFonts w:hint="eastAsia" w:ascii="仿宋" w:hAnsi="仿宋" w:eastAsia="仿宋" w:cs="仿宋"/>
          <w:color w:val="auto"/>
          <w:sz w:val="32"/>
          <w:szCs w:val="32"/>
          <w:highlight w:val="none"/>
          <w:lang w:val="en-US" w:eastAsia="zh-CN"/>
        </w:rPr>
        <w:t>2200019</w:t>
      </w:r>
      <w:r>
        <w:rPr>
          <w:rFonts w:hint="eastAsia" w:ascii="仿宋" w:hAnsi="仿宋" w:eastAsia="仿宋" w:cs="仿宋"/>
          <w:color w:val="auto"/>
          <w:sz w:val="32"/>
          <w:szCs w:val="32"/>
          <w:highlight w:val="none"/>
        </w:rPr>
        <w:t>号）的有关要求进行建设。</w:t>
      </w:r>
    </w:p>
    <w:p>
      <w:pPr>
        <w:spacing w:line="538" w:lineRule="exact"/>
        <w:ind w:left="0" w:firstLine="643" w:firstLineChars="200"/>
        <w:rPr>
          <w:rFonts w:ascii="仿宋" w:hAnsi="仿宋" w:eastAsia="仿宋"/>
          <w:b/>
          <w:color w:val="auto"/>
          <w:sz w:val="32"/>
          <w:szCs w:val="32"/>
        </w:rPr>
      </w:pPr>
      <w:r>
        <w:rPr>
          <w:rFonts w:hint="eastAsia" w:ascii="仿宋" w:hAnsi="仿宋" w:eastAsia="仿宋"/>
          <w:b/>
          <w:color w:val="auto"/>
          <w:sz w:val="32"/>
          <w:szCs w:val="32"/>
          <w:lang w:eastAsia="zh-CN"/>
        </w:rPr>
        <w:t>五</w:t>
      </w:r>
      <w:r>
        <w:rPr>
          <w:rFonts w:hint="eastAsia" w:ascii="仿宋" w:hAnsi="仿宋" w:eastAsia="仿宋"/>
          <w:b/>
          <w:color w:val="auto"/>
          <w:sz w:val="32"/>
          <w:szCs w:val="32"/>
        </w:rPr>
        <w:t>号地块</w:t>
      </w:r>
    </w:p>
    <w:p>
      <w:pPr>
        <w:spacing w:line="538" w:lineRule="exact"/>
        <w:ind w:left="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（一）地块位置：</w:t>
      </w:r>
      <w:r>
        <w:rPr>
          <w:rFonts w:hint="eastAsia" w:ascii="仿宋" w:hAnsi="仿宋" w:eastAsia="仿宋" w:cs="仿宋"/>
          <w:color w:val="auto"/>
          <w:kern w:val="0"/>
          <w:sz w:val="32"/>
          <w:szCs w:val="32"/>
          <w:lang w:eastAsia="zh-CN"/>
        </w:rPr>
        <w:t>公园路东侧、</w:t>
      </w:r>
      <w:r>
        <w:rPr>
          <w:rFonts w:hint="eastAsia" w:ascii="仿宋" w:hAnsi="仿宋" w:eastAsia="仿宋"/>
          <w:color w:val="auto"/>
          <w:kern w:val="0"/>
          <w:sz w:val="32"/>
          <w:szCs w:val="32"/>
          <w:lang w:val="en-US" w:eastAsia="zh-CN"/>
        </w:rPr>
        <w:t>千禧苑小区西沿街商业</w:t>
      </w:r>
      <w:r>
        <w:rPr>
          <w:rFonts w:hint="eastAsia" w:ascii="仿宋" w:hAnsi="仿宋" w:eastAsia="仿宋" w:cs="仿宋"/>
          <w:color w:val="auto"/>
          <w:sz w:val="32"/>
          <w:szCs w:val="32"/>
          <w:highlight w:val="none"/>
          <w:lang w:val="en-US" w:eastAsia="zh-CN"/>
        </w:rPr>
        <w:t>；</w:t>
      </w:r>
    </w:p>
    <w:p>
      <w:pPr>
        <w:spacing w:line="538" w:lineRule="exact"/>
        <w:ind w:left="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（二）出让面积：3413.1平方米(约</w:t>
      </w:r>
      <w:r>
        <w:rPr>
          <w:rFonts w:hint="eastAsia" w:ascii="仿宋" w:hAnsi="仿宋" w:eastAsia="仿宋" w:cs="仿宋"/>
          <w:color w:val="auto"/>
          <w:kern w:val="0"/>
          <w:sz w:val="32"/>
          <w:szCs w:val="32"/>
          <w:lang w:val="en-US" w:eastAsia="zh-CN"/>
        </w:rPr>
        <w:t>5.12</w:t>
      </w:r>
      <w:r>
        <w:rPr>
          <w:rFonts w:hint="eastAsia" w:ascii="仿宋" w:hAnsi="仿宋" w:eastAsia="仿宋" w:cs="仿宋"/>
          <w:color w:val="auto"/>
          <w:sz w:val="32"/>
          <w:szCs w:val="32"/>
          <w:highlight w:val="none"/>
          <w:lang w:val="en-US" w:eastAsia="zh-CN"/>
        </w:rPr>
        <w:t>亩)；</w:t>
      </w:r>
    </w:p>
    <w:p>
      <w:pPr>
        <w:spacing w:line="538" w:lineRule="exact"/>
        <w:ind w:left="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（三）土地用途：商业用地；</w:t>
      </w:r>
    </w:p>
    <w:p>
      <w:pPr>
        <w:spacing w:line="538" w:lineRule="exact"/>
        <w:ind w:left="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（四）使用年期：商业40年；</w:t>
      </w:r>
    </w:p>
    <w:p>
      <w:pPr>
        <w:spacing w:line="538" w:lineRule="exact"/>
        <w:ind w:left="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（五）建设时间：出让合同约定的动工开发期限内动工，</w:t>
      </w:r>
      <w:r>
        <w:rPr>
          <w:rFonts w:hint="eastAsia" w:ascii="仿宋" w:hAnsi="仿宋" w:eastAsia="仿宋" w:cs="仿宋"/>
          <w:color w:val="auto"/>
          <w:sz w:val="32"/>
          <w:szCs w:val="32"/>
          <w:highlight w:val="none"/>
          <w:lang w:eastAsia="zh-CN"/>
        </w:rPr>
        <w:t>二</w:t>
      </w:r>
      <w:r>
        <w:rPr>
          <w:rFonts w:hint="eastAsia" w:ascii="仿宋" w:hAnsi="仿宋" w:eastAsia="仿宋" w:cs="仿宋"/>
          <w:color w:val="auto"/>
          <w:sz w:val="32"/>
          <w:szCs w:val="32"/>
          <w:highlight w:val="none"/>
        </w:rPr>
        <w:t>年内建设完成；</w:t>
      </w:r>
    </w:p>
    <w:p>
      <w:pPr>
        <w:spacing w:line="538" w:lineRule="exact"/>
        <w:ind w:left="0" w:firstLine="640" w:firstLineChars="200"/>
        <w:rPr>
          <w:rFonts w:hint="eastAsia" w:ascii="仿宋" w:hAnsi="仿宋" w:eastAsia="仿宋"/>
          <w:color w:val="auto"/>
          <w:sz w:val="32"/>
          <w:szCs w:val="32"/>
        </w:rPr>
      </w:pPr>
      <w:r>
        <w:rPr>
          <w:rFonts w:hint="eastAsia" w:ascii="仿宋" w:hAnsi="仿宋" w:eastAsia="仿宋"/>
          <w:color w:val="auto"/>
          <w:sz w:val="32"/>
          <w:szCs w:val="32"/>
        </w:rPr>
        <w:t>（六）规划用地性质：</w:t>
      </w:r>
      <w:r>
        <w:rPr>
          <w:rFonts w:hint="eastAsia" w:ascii="仿宋" w:hAnsi="仿宋" w:eastAsia="仿宋" w:cs="仿宋"/>
          <w:color w:val="auto"/>
          <w:sz w:val="32"/>
          <w:szCs w:val="32"/>
          <w:highlight w:val="none"/>
          <w:lang w:val="en-US" w:eastAsia="zh-CN"/>
        </w:rPr>
        <w:t>工业用地；</w:t>
      </w:r>
    </w:p>
    <w:p>
      <w:pPr>
        <w:spacing w:line="538" w:lineRule="exact"/>
        <w:ind w:left="0" w:firstLine="640" w:firstLineChars="200"/>
        <w:rPr>
          <w:rFonts w:hint="eastAsia" w:ascii="仿宋" w:hAnsi="仿宋" w:eastAsia="仿宋"/>
          <w:color w:val="auto"/>
          <w:sz w:val="32"/>
          <w:szCs w:val="32"/>
        </w:rPr>
      </w:pPr>
      <w:r>
        <w:rPr>
          <w:rFonts w:hint="eastAsia" w:ascii="仿宋" w:hAnsi="仿宋" w:eastAsia="仿宋"/>
          <w:color w:val="auto"/>
          <w:sz w:val="32"/>
          <w:szCs w:val="32"/>
        </w:rPr>
        <w:t>（七）容积率：≤</w:t>
      </w:r>
      <w:r>
        <w:rPr>
          <w:rFonts w:hint="eastAsia" w:ascii="仿宋" w:hAnsi="仿宋" w:eastAsia="仿宋"/>
          <w:color w:val="auto"/>
          <w:sz w:val="32"/>
          <w:szCs w:val="32"/>
          <w:lang w:val="en-US" w:eastAsia="zh-CN"/>
        </w:rPr>
        <w:t>2.0</w:t>
      </w:r>
      <w:r>
        <w:rPr>
          <w:rFonts w:hint="eastAsia" w:ascii="仿宋" w:hAnsi="仿宋" w:eastAsia="仿宋"/>
          <w:color w:val="auto"/>
          <w:sz w:val="32"/>
          <w:szCs w:val="32"/>
        </w:rPr>
        <w:t>；</w:t>
      </w:r>
    </w:p>
    <w:p>
      <w:pPr>
        <w:spacing w:line="538" w:lineRule="exact"/>
        <w:ind w:left="0"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lang w:eastAsia="zh-CN"/>
        </w:rPr>
        <w:t>（八）</w:t>
      </w:r>
      <w:r>
        <w:rPr>
          <w:rFonts w:hint="eastAsia" w:ascii="仿宋" w:hAnsi="仿宋" w:eastAsia="仿宋"/>
          <w:color w:val="auto"/>
          <w:sz w:val="32"/>
          <w:szCs w:val="32"/>
        </w:rPr>
        <w:t>建筑限高：≤</w:t>
      </w:r>
      <w:r>
        <w:rPr>
          <w:rFonts w:hint="eastAsia" w:ascii="仿宋" w:hAnsi="仿宋" w:eastAsia="仿宋"/>
          <w:color w:val="auto"/>
          <w:sz w:val="32"/>
          <w:szCs w:val="32"/>
          <w:lang w:val="en-US" w:eastAsia="zh-CN"/>
        </w:rPr>
        <w:t>10.0米</w:t>
      </w:r>
      <w:r>
        <w:rPr>
          <w:rFonts w:hint="eastAsia" w:ascii="仿宋" w:hAnsi="仿宋" w:eastAsia="仿宋"/>
          <w:color w:val="auto"/>
          <w:sz w:val="32"/>
          <w:szCs w:val="32"/>
          <w:lang w:eastAsia="zh-CN"/>
        </w:rPr>
        <w:t>；</w:t>
      </w:r>
    </w:p>
    <w:p>
      <w:pPr>
        <w:spacing w:line="538" w:lineRule="exact"/>
        <w:ind w:left="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九</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rPr>
        <w:t>建筑</w:t>
      </w:r>
      <w:r>
        <w:rPr>
          <w:rFonts w:hint="eastAsia" w:ascii="仿宋" w:hAnsi="仿宋" w:eastAsia="仿宋" w:cs="仿宋"/>
          <w:color w:val="auto"/>
          <w:sz w:val="32"/>
          <w:szCs w:val="32"/>
          <w:lang w:eastAsia="zh-CN"/>
        </w:rPr>
        <w:t>密度</w:t>
      </w:r>
      <w:r>
        <w:rPr>
          <w:rFonts w:hint="eastAsia" w:ascii="仿宋" w:hAnsi="仿宋" w:eastAsia="仿宋" w:cs="仿宋"/>
          <w:color w:val="auto"/>
          <w:sz w:val="32"/>
          <w:szCs w:val="32"/>
        </w:rPr>
        <w:t>：</w:t>
      </w:r>
      <w:r>
        <w:rPr>
          <w:rFonts w:hint="eastAsia" w:ascii="仿宋" w:hAnsi="仿宋" w:eastAsia="仿宋"/>
          <w:color w:val="auto"/>
          <w:sz w:val="32"/>
          <w:szCs w:val="32"/>
        </w:rPr>
        <w:t>≤</w:t>
      </w:r>
      <w:r>
        <w:rPr>
          <w:rFonts w:hint="eastAsia" w:ascii="仿宋" w:hAnsi="仿宋" w:eastAsia="仿宋"/>
          <w:color w:val="auto"/>
          <w:sz w:val="32"/>
          <w:szCs w:val="32"/>
          <w:lang w:val="en-US" w:eastAsia="zh-CN"/>
        </w:rPr>
        <w:t>95%</w:t>
      </w:r>
      <w:r>
        <w:rPr>
          <w:rFonts w:hint="eastAsia" w:ascii="仿宋" w:hAnsi="仿宋" w:eastAsia="仿宋" w:cs="仿宋"/>
          <w:color w:val="auto"/>
          <w:sz w:val="32"/>
          <w:szCs w:val="32"/>
          <w:highlight w:val="none"/>
        </w:rPr>
        <w:t>；</w:t>
      </w:r>
    </w:p>
    <w:p>
      <w:pPr>
        <w:spacing w:line="538" w:lineRule="exact"/>
        <w:ind w:left="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（十）</w:t>
      </w:r>
      <w:r>
        <w:rPr>
          <w:rFonts w:hint="eastAsia" w:ascii="仿宋" w:hAnsi="仿宋" w:eastAsia="仿宋" w:cs="仿宋"/>
          <w:color w:val="auto"/>
          <w:sz w:val="32"/>
          <w:szCs w:val="32"/>
          <w:highlight w:val="none"/>
        </w:rPr>
        <w:t>建筑退线要求：满足规划设计条件要求；</w:t>
      </w:r>
    </w:p>
    <w:p>
      <w:pPr>
        <w:spacing w:line="538" w:lineRule="exact"/>
        <w:ind w:left="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（十一）</w:t>
      </w:r>
      <w:r>
        <w:rPr>
          <w:rFonts w:hint="eastAsia" w:ascii="仿宋" w:hAnsi="仿宋" w:eastAsia="仿宋" w:cs="仿宋"/>
          <w:color w:val="auto"/>
          <w:sz w:val="32"/>
          <w:szCs w:val="32"/>
          <w:highlight w:val="none"/>
        </w:rPr>
        <w:t>出让地块的空间范围须符合城市规划管理的有关要求；</w:t>
      </w:r>
    </w:p>
    <w:p>
      <w:pPr>
        <w:spacing w:line="538" w:lineRule="exact"/>
        <w:ind w:left="0"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（十二）</w:t>
      </w:r>
      <w:r>
        <w:rPr>
          <w:rFonts w:hint="eastAsia" w:ascii="仿宋" w:hAnsi="仿宋" w:eastAsia="仿宋" w:cs="仿宋"/>
          <w:color w:val="auto"/>
          <w:sz w:val="32"/>
          <w:szCs w:val="32"/>
          <w:highlight w:val="none"/>
        </w:rPr>
        <w:t>其他规划要求以规划条件书为准。</w:t>
      </w:r>
    </w:p>
    <w:p>
      <w:pPr>
        <w:keepNext w:val="0"/>
        <w:keepLines w:val="0"/>
        <w:pageBreakBefore w:val="0"/>
        <w:widowControl w:val="0"/>
        <w:suppressLineNumbers w:val="0"/>
        <w:tabs>
          <w:tab w:val="left" w:pos="7560"/>
        </w:tabs>
        <w:kinsoku/>
        <w:wordWrap/>
        <w:overflowPunct/>
        <w:topLinePunct w:val="0"/>
        <w:autoSpaceDE/>
        <w:autoSpaceDN/>
        <w:bidi w:val="0"/>
        <w:adjustRightInd w:val="0"/>
        <w:snapToGrid w:val="0"/>
        <w:spacing w:before="0" w:beforeAutospacing="0" w:after="0" w:afterAutospacing="0" w:line="560" w:lineRule="exact"/>
        <w:ind w:left="0" w:right="0" w:firstLine="624"/>
        <w:jc w:val="both"/>
        <w:textAlignment w:val="baseline"/>
        <w:rPr>
          <w:rFonts w:hint="eastAsia" w:ascii="仿宋" w:hAnsi="仿宋" w:eastAsia="仿宋" w:cs="仿宋_GB2312"/>
          <w:color w:val="auto"/>
          <w:sz w:val="32"/>
          <w:szCs w:val="32"/>
          <w:lang w:val="en-US" w:eastAsia="zh-CN"/>
        </w:rPr>
      </w:pPr>
      <w:r>
        <w:rPr>
          <w:rFonts w:hint="eastAsia" w:ascii="仿宋" w:hAnsi="仿宋" w:eastAsia="仿宋" w:cs="仿宋"/>
          <w:color w:val="auto"/>
          <w:sz w:val="32"/>
          <w:szCs w:val="32"/>
          <w:highlight w:val="none"/>
          <w:lang w:eastAsia="zh-CN"/>
        </w:rPr>
        <w:t>（十三）</w:t>
      </w:r>
      <w:r>
        <w:rPr>
          <w:rFonts w:hint="eastAsia" w:ascii="仿宋" w:hAnsi="仿宋" w:eastAsia="仿宋" w:cs="仿宋_GB2312"/>
          <w:color w:val="auto"/>
          <w:sz w:val="32"/>
          <w:szCs w:val="32"/>
        </w:rPr>
        <w:t>该地块用地范围属于</w:t>
      </w:r>
      <w:r>
        <w:rPr>
          <w:rFonts w:hint="eastAsia" w:ascii="仿宋" w:hAnsi="仿宋" w:eastAsia="仿宋" w:cs="仿宋_GB2312"/>
          <w:color w:val="auto"/>
          <w:sz w:val="32"/>
          <w:szCs w:val="32"/>
          <w:lang w:eastAsia="zh-CN"/>
        </w:rPr>
        <w:t>存量地，</w:t>
      </w:r>
      <w:r>
        <w:rPr>
          <w:rFonts w:hint="eastAsia" w:ascii="仿宋" w:hAnsi="仿宋" w:eastAsia="仿宋" w:cs="仿宋"/>
          <w:color w:val="auto"/>
          <w:kern w:val="2"/>
          <w:sz w:val="32"/>
          <w:szCs w:val="32"/>
          <w:vertAlign w:val="baseline"/>
          <w:lang w:val="en-US" w:eastAsia="zh-CN" w:bidi="ar"/>
        </w:rPr>
        <w:t>未批先建属违法用地现按净地挂牌</w:t>
      </w:r>
      <w:r>
        <w:rPr>
          <w:rFonts w:hint="eastAsia" w:ascii="仿宋" w:hAnsi="仿宋" w:eastAsia="仿宋"/>
          <w:color w:val="auto"/>
          <w:sz w:val="32"/>
          <w:szCs w:val="32"/>
          <w:highlight w:val="none"/>
        </w:rPr>
        <w:t>现状</w:t>
      </w:r>
      <w:r>
        <w:rPr>
          <w:rFonts w:hint="eastAsia" w:ascii="仿宋" w:hAnsi="仿宋" w:eastAsia="仿宋"/>
          <w:color w:val="auto"/>
          <w:sz w:val="32"/>
          <w:szCs w:val="32"/>
          <w:highlight w:val="none"/>
          <w:lang w:eastAsia="zh-CN"/>
        </w:rPr>
        <w:t>交付</w:t>
      </w:r>
      <w:r>
        <w:rPr>
          <w:rFonts w:hint="eastAsia" w:ascii="仿宋" w:hAnsi="仿宋" w:eastAsia="仿宋"/>
          <w:color w:val="auto"/>
          <w:sz w:val="32"/>
          <w:szCs w:val="32"/>
          <w:highlight w:val="none"/>
        </w:rPr>
        <w:t>，地上建筑物由</w:t>
      </w:r>
      <w:r>
        <w:rPr>
          <w:rFonts w:hint="eastAsia" w:ascii="仿宋" w:hAnsi="仿宋" w:eastAsia="仿宋"/>
          <w:color w:val="auto"/>
          <w:sz w:val="32"/>
          <w:szCs w:val="32"/>
          <w:highlight w:val="none"/>
          <w:lang w:eastAsia="zh-CN"/>
        </w:rPr>
        <w:t>竞得人自行协商</w:t>
      </w:r>
      <w:r>
        <w:rPr>
          <w:rFonts w:hint="eastAsia" w:ascii="仿宋" w:hAnsi="仿宋" w:eastAsia="仿宋"/>
          <w:color w:val="auto"/>
          <w:sz w:val="32"/>
          <w:szCs w:val="32"/>
          <w:highlight w:val="none"/>
        </w:rPr>
        <w:t>解决</w:t>
      </w:r>
      <w:r>
        <w:rPr>
          <w:rFonts w:hint="eastAsia" w:ascii="仿宋" w:hAnsi="仿宋" w:eastAsia="仿宋"/>
          <w:color w:val="auto"/>
          <w:sz w:val="32"/>
          <w:szCs w:val="32"/>
          <w:highlight w:val="none"/>
          <w:lang w:eastAsia="zh-CN"/>
        </w:rPr>
        <w:t>。</w:t>
      </w:r>
    </w:p>
    <w:p>
      <w:pPr>
        <w:keepNext w:val="0"/>
        <w:keepLines w:val="0"/>
        <w:pageBreakBefore w:val="0"/>
        <w:kinsoku/>
        <w:wordWrap/>
        <w:overflowPunct/>
        <w:topLinePunct w:val="0"/>
        <w:autoSpaceDE/>
        <w:autoSpaceDN/>
        <w:bidi w:val="0"/>
        <w:adjustRightInd w:val="0"/>
        <w:snapToGrid w:val="0"/>
        <w:spacing w:after="0" w:line="560" w:lineRule="exact"/>
        <w:ind w:firstLine="624"/>
        <w:textAlignment w:val="baseline"/>
        <w:rPr>
          <w:rFonts w:hint="eastAsia" w:ascii="仿宋" w:hAnsi="仿宋" w:eastAsia="仿宋" w:cs="仿宋"/>
          <w:color w:val="auto"/>
          <w:sz w:val="32"/>
          <w:szCs w:val="32"/>
          <w:highlight w:val="none"/>
        </w:rPr>
      </w:pPr>
      <w:r>
        <w:rPr>
          <w:rFonts w:hint="eastAsia" w:ascii="仿宋" w:hAnsi="仿宋" w:eastAsia="仿宋"/>
          <w:color w:val="auto"/>
          <w:sz w:val="32"/>
          <w:szCs w:val="32"/>
          <w:lang w:eastAsia="zh-CN"/>
        </w:rPr>
        <w:t>该项目用地</w:t>
      </w:r>
      <w:r>
        <w:rPr>
          <w:rFonts w:hint="eastAsia" w:ascii="仿宋" w:hAnsi="仿宋" w:eastAsia="仿宋"/>
          <w:color w:val="auto"/>
          <w:sz w:val="32"/>
          <w:szCs w:val="32"/>
        </w:rPr>
        <w:t>范围内如有树木、供电设施等，受让人可结合规划设计方案保留，对不需要保留的，由受让人自行与有关部门解决，并承担所需费用。如需要考古或地下有构筑物、其他设施等，由受让人自行与有关部门协商解决，并承担所需费用。</w:t>
      </w:r>
    </w:p>
    <w:p>
      <w:pPr>
        <w:spacing w:line="538" w:lineRule="exact"/>
        <w:ind w:left="0" w:firstLine="640" w:firstLineChars="200"/>
        <w:rPr>
          <w:rFonts w:hint="eastAsia" w:ascii="仿宋" w:hAnsi="仿宋" w:eastAsia="仿宋"/>
          <w:color w:val="auto"/>
          <w:sz w:val="32"/>
          <w:szCs w:val="32"/>
        </w:rPr>
      </w:pPr>
      <w:r>
        <w:rPr>
          <w:rFonts w:hint="eastAsia" w:ascii="仿宋" w:hAnsi="仿宋" w:eastAsia="仿宋"/>
          <w:color w:val="auto"/>
          <w:sz w:val="32"/>
          <w:szCs w:val="32"/>
        </w:rPr>
        <w:t>（十</w:t>
      </w:r>
      <w:r>
        <w:rPr>
          <w:rFonts w:hint="eastAsia" w:ascii="仿宋" w:hAnsi="仿宋" w:eastAsia="仿宋"/>
          <w:color w:val="auto"/>
          <w:sz w:val="32"/>
          <w:szCs w:val="32"/>
          <w:lang w:eastAsia="zh-CN"/>
        </w:rPr>
        <w:t>四</w:t>
      </w:r>
      <w:r>
        <w:rPr>
          <w:rFonts w:hint="eastAsia" w:ascii="仿宋" w:hAnsi="仿宋" w:eastAsia="仿宋"/>
          <w:color w:val="auto"/>
          <w:sz w:val="32"/>
          <w:szCs w:val="32"/>
        </w:rPr>
        <w:t>）其他要求：出让地块的空间范围须符合城市规划管理的有关</w:t>
      </w:r>
      <w:r>
        <w:rPr>
          <w:rFonts w:hint="eastAsia" w:ascii="仿宋" w:hAnsi="仿宋" w:eastAsia="仿宋" w:cs="仿宋"/>
          <w:color w:val="auto"/>
          <w:sz w:val="32"/>
          <w:szCs w:val="32"/>
          <w:highlight w:val="none"/>
        </w:rPr>
        <w:t>要求，必须严格按照《内蒙古自治区建设用地规划条件书》（条字第：</w:t>
      </w:r>
      <w:r>
        <w:rPr>
          <w:rFonts w:hint="eastAsia" w:ascii="仿宋" w:hAnsi="仿宋" w:eastAsia="仿宋"/>
          <w:color w:val="auto"/>
          <w:kern w:val="0"/>
          <w:sz w:val="32"/>
          <w:szCs w:val="32"/>
        </w:rPr>
        <w:t>15030220</w:t>
      </w:r>
      <w:r>
        <w:rPr>
          <w:rFonts w:hint="eastAsia" w:ascii="仿宋" w:hAnsi="仿宋" w:eastAsia="仿宋"/>
          <w:color w:val="auto"/>
          <w:kern w:val="0"/>
          <w:sz w:val="32"/>
          <w:szCs w:val="32"/>
          <w:lang w:val="en-US" w:eastAsia="zh-CN"/>
        </w:rPr>
        <w:t>2200018</w:t>
      </w:r>
      <w:r>
        <w:rPr>
          <w:rFonts w:hint="eastAsia" w:ascii="仿宋" w:hAnsi="仿宋" w:eastAsia="仿宋" w:cs="仿宋"/>
          <w:color w:val="auto"/>
          <w:sz w:val="32"/>
          <w:szCs w:val="32"/>
          <w:highlight w:val="none"/>
        </w:rPr>
        <w:t>号）的有关要求进行建设。</w:t>
      </w:r>
    </w:p>
    <w:p>
      <w:pPr>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四、竞买资格及要求</w:t>
      </w:r>
    </w:p>
    <w:p>
      <w:pPr>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中华人民共和国境内外的法人、自然人和其他组织，除法律法规对申请人另有限制外，均可申请参加。本次挂牌不接受联合申请。工业项目用地，竞得人在项目审批时，除满足《工业项目建设用地控制指标》的要求外，还必须遵守城市规划、环境保护等法律法规，并符合国家的产业政策。房地产开发用地，申请竞买者须提交保证金不属于银行贷款、股东借款、转贷和募集资金的承诺书及商业金融机构的资信证明。</w:t>
      </w:r>
    </w:p>
    <w:p>
      <w:pPr>
        <w:spacing w:line="540" w:lineRule="exact"/>
        <w:ind w:left="0" w:firstLine="640" w:firstLineChars="200"/>
        <w:rPr>
          <w:rFonts w:ascii="仿宋" w:hAnsi="仿宋" w:eastAsia="仿宋"/>
          <w:color w:val="auto"/>
          <w:sz w:val="32"/>
          <w:szCs w:val="32"/>
          <w:highlight w:val="yellow"/>
        </w:rPr>
      </w:pPr>
      <w:r>
        <w:rPr>
          <w:rFonts w:hint="eastAsia" w:ascii="仿宋" w:hAnsi="仿宋" w:eastAsia="仿宋"/>
          <w:color w:val="auto"/>
          <w:sz w:val="32"/>
          <w:szCs w:val="32"/>
        </w:rPr>
        <w:t>交纳竞买保证金的截止时间为</w:t>
      </w:r>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9</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27</w:t>
      </w:r>
      <w:r>
        <w:rPr>
          <w:rFonts w:hint="eastAsia" w:ascii="仿宋" w:hAnsi="仿宋" w:eastAsia="仿宋"/>
          <w:color w:val="auto"/>
          <w:sz w:val="32"/>
          <w:szCs w:val="32"/>
          <w:highlight w:val="none"/>
        </w:rPr>
        <w:t>日16：00时。</w:t>
      </w:r>
    </w:p>
    <w:p>
      <w:pPr>
        <w:spacing w:line="540" w:lineRule="exact"/>
        <w:ind w:left="0" w:firstLine="640" w:firstLineChars="200"/>
        <w:rPr>
          <w:rFonts w:hint="eastAsia" w:ascii="仿宋" w:hAnsi="仿宋" w:eastAsia="仿宋"/>
          <w:color w:val="auto"/>
          <w:sz w:val="32"/>
          <w:szCs w:val="32"/>
        </w:rPr>
      </w:pPr>
      <w:r>
        <w:rPr>
          <w:rFonts w:hint="eastAsia" w:ascii="仿宋" w:hAnsi="仿宋" w:eastAsia="仿宋"/>
          <w:color w:val="auto"/>
          <w:sz w:val="32"/>
          <w:szCs w:val="32"/>
        </w:rPr>
        <w:t>地块竞买保证金为：</w:t>
      </w:r>
    </w:p>
    <w:p>
      <w:pPr>
        <w:keepNext w:val="0"/>
        <w:keepLines w:val="0"/>
        <w:pageBreakBefore w:val="0"/>
        <w:kinsoku/>
        <w:wordWrap/>
        <w:overflowPunct/>
        <w:topLinePunct w:val="0"/>
        <w:autoSpaceDE/>
        <w:autoSpaceDN/>
        <w:bidi w:val="0"/>
        <w:spacing w:line="560" w:lineRule="exact"/>
        <w:ind w:firstLine="640" w:firstLineChars="200"/>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olor w:val="auto"/>
          <w:sz w:val="32"/>
          <w:szCs w:val="32"/>
          <w:lang w:val="en-US" w:eastAsia="zh-CN"/>
        </w:rPr>
        <w:t>地块一：</w:t>
      </w:r>
      <w:r>
        <w:rPr>
          <w:rFonts w:hint="eastAsia" w:ascii="仿宋" w:hAnsi="仿宋" w:eastAsia="仿宋"/>
          <w:color w:val="auto"/>
          <w:kern w:val="0"/>
          <w:sz w:val="32"/>
          <w:szCs w:val="32"/>
          <w:lang w:val="en-US" w:eastAsia="zh-CN"/>
        </w:rPr>
        <w:t>575.6243万元</w:t>
      </w:r>
      <w:r>
        <w:rPr>
          <w:rFonts w:hint="eastAsia" w:ascii="仿宋" w:hAnsi="仿宋" w:eastAsia="仿宋" w:cs="Times New Roman"/>
          <w:color w:val="auto"/>
          <w:sz w:val="32"/>
          <w:szCs w:val="32"/>
          <w:lang w:val="en-US" w:eastAsia="zh-CN"/>
        </w:rPr>
        <w:t>（伍佰柒拾伍万陆仟贰佰肆拾叁元）</w:t>
      </w:r>
      <w:r>
        <w:rPr>
          <w:rFonts w:hint="eastAsia" w:ascii="仿宋" w:hAnsi="仿宋" w:eastAsia="仿宋" w:cs="仿宋"/>
          <w:color w:val="auto"/>
          <w:sz w:val="32"/>
          <w:szCs w:val="32"/>
          <w:highlight w:val="none"/>
          <w:lang w:val="en-US" w:eastAsia="zh-CN"/>
        </w:rPr>
        <w:t>；</w:t>
      </w:r>
    </w:p>
    <w:p>
      <w:pPr>
        <w:keepNext w:val="0"/>
        <w:keepLines w:val="0"/>
        <w:pageBreakBefore w:val="0"/>
        <w:kinsoku/>
        <w:wordWrap/>
        <w:overflowPunct/>
        <w:topLinePunct w:val="0"/>
        <w:autoSpaceDE/>
        <w:autoSpaceDN/>
        <w:bidi w:val="0"/>
        <w:spacing w:line="560" w:lineRule="exact"/>
        <w:ind w:firstLine="640" w:firstLineChars="200"/>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olor w:val="auto"/>
          <w:sz w:val="32"/>
          <w:szCs w:val="32"/>
          <w:lang w:val="en-US" w:eastAsia="zh-CN"/>
        </w:rPr>
        <w:t>地块二：</w:t>
      </w:r>
      <w:r>
        <w:rPr>
          <w:rFonts w:hint="eastAsia" w:ascii="仿宋" w:hAnsi="仿宋" w:eastAsia="仿宋" w:cs="仿宋"/>
          <w:color w:val="auto"/>
          <w:kern w:val="0"/>
          <w:sz w:val="32"/>
          <w:szCs w:val="32"/>
          <w:highlight w:val="none"/>
          <w:lang w:val="en-US" w:eastAsia="zh-CN"/>
        </w:rPr>
        <w:t>70.0323</w:t>
      </w:r>
      <w:r>
        <w:rPr>
          <w:rFonts w:hint="eastAsia" w:ascii="仿宋" w:hAnsi="仿宋" w:eastAsia="仿宋"/>
          <w:color w:val="auto"/>
          <w:kern w:val="0"/>
          <w:sz w:val="32"/>
          <w:szCs w:val="32"/>
          <w:lang w:val="en-US" w:eastAsia="zh-CN"/>
        </w:rPr>
        <w:t>万元</w:t>
      </w:r>
      <w:r>
        <w:rPr>
          <w:rFonts w:hint="eastAsia" w:ascii="仿宋" w:hAnsi="仿宋" w:eastAsia="仿宋" w:cs="Times New Roman"/>
          <w:color w:val="auto"/>
          <w:sz w:val="32"/>
          <w:szCs w:val="32"/>
          <w:lang w:val="en-US" w:eastAsia="zh-CN"/>
        </w:rPr>
        <w:t>（柒拾万零叁佰贰拾叁元）</w:t>
      </w:r>
      <w:r>
        <w:rPr>
          <w:rFonts w:hint="eastAsia" w:ascii="仿宋" w:hAnsi="仿宋" w:eastAsia="仿宋" w:cs="仿宋"/>
          <w:color w:val="auto"/>
          <w:sz w:val="32"/>
          <w:szCs w:val="32"/>
          <w:highlight w:val="none"/>
          <w:lang w:val="en-US" w:eastAsia="zh-CN"/>
        </w:rPr>
        <w:t>；</w:t>
      </w:r>
    </w:p>
    <w:p>
      <w:pPr>
        <w:keepNext w:val="0"/>
        <w:keepLines w:val="0"/>
        <w:pageBreakBefore w:val="0"/>
        <w:kinsoku/>
        <w:wordWrap/>
        <w:overflowPunct/>
        <w:topLinePunct w:val="0"/>
        <w:autoSpaceDE/>
        <w:autoSpaceDN/>
        <w:bidi w:val="0"/>
        <w:spacing w:line="560" w:lineRule="exact"/>
        <w:ind w:firstLine="640" w:firstLineChars="200"/>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olor w:val="auto"/>
          <w:sz w:val="32"/>
          <w:szCs w:val="32"/>
          <w:lang w:val="en-US" w:eastAsia="zh-CN"/>
        </w:rPr>
        <w:t>地块三：</w:t>
      </w:r>
      <w:r>
        <w:rPr>
          <w:rFonts w:hint="eastAsia" w:ascii="仿宋" w:hAnsi="仿宋" w:eastAsia="仿宋" w:cs="仿宋"/>
          <w:color w:val="auto"/>
          <w:kern w:val="0"/>
          <w:sz w:val="32"/>
          <w:szCs w:val="32"/>
          <w:highlight w:val="none"/>
          <w:lang w:val="en-US" w:eastAsia="zh-CN"/>
        </w:rPr>
        <w:t>2.8722万元</w:t>
      </w:r>
      <w:r>
        <w:rPr>
          <w:rFonts w:hint="eastAsia" w:ascii="仿宋" w:hAnsi="仿宋" w:eastAsia="仿宋" w:cs="Times New Roman"/>
          <w:color w:val="auto"/>
          <w:sz w:val="32"/>
          <w:szCs w:val="32"/>
          <w:lang w:val="en-US" w:eastAsia="zh-CN"/>
        </w:rPr>
        <w:t>（贰万捌仟柒佰贰拾贰元）</w:t>
      </w:r>
      <w:r>
        <w:rPr>
          <w:rFonts w:hint="eastAsia" w:ascii="仿宋" w:hAnsi="仿宋" w:eastAsia="仿宋" w:cs="仿宋"/>
          <w:color w:val="auto"/>
          <w:sz w:val="32"/>
          <w:szCs w:val="32"/>
          <w:highlight w:val="none"/>
          <w:lang w:val="en-US" w:eastAsia="zh-CN"/>
        </w:rPr>
        <w:t>；</w:t>
      </w:r>
    </w:p>
    <w:p>
      <w:pPr>
        <w:keepNext w:val="0"/>
        <w:keepLines w:val="0"/>
        <w:pageBreakBefore w:val="0"/>
        <w:kinsoku/>
        <w:wordWrap/>
        <w:overflowPunct/>
        <w:topLinePunct w:val="0"/>
        <w:autoSpaceDE/>
        <w:autoSpaceDN/>
        <w:bidi w:val="0"/>
        <w:spacing w:line="560" w:lineRule="exact"/>
        <w:ind w:firstLine="640" w:firstLineChars="200"/>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olor w:val="auto"/>
          <w:sz w:val="32"/>
          <w:szCs w:val="32"/>
          <w:lang w:val="en-US" w:eastAsia="zh-CN"/>
        </w:rPr>
        <w:t>地块四：</w:t>
      </w:r>
      <w:r>
        <w:rPr>
          <w:rFonts w:hint="eastAsia" w:ascii="仿宋" w:hAnsi="仿宋" w:eastAsia="仿宋" w:cs="仿宋"/>
          <w:color w:val="auto"/>
          <w:kern w:val="0"/>
          <w:sz w:val="32"/>
          <w:szCs w:val="32"/>
          <w:lang w:val="en-US" w:eastAsia="zh-CN"/>
        </w:rPr>
        <w:t>95.7769万元</w:t>
      </w:r>
      <w:r>
        <w:rPr>
          <w:rFonts w:hint="eastAsia" w:ascii="仿宋" w:hAnsi="仿宋" w:eastAsia="仿宋" w:cs="Times New Roman"/>
          <w:color w:val="auto"/>
          <w:sz w:val="32"/>
          <w:szCs w:val="32"/>
          <w:lang w:val="en-US" w:eastAsia="zh-CN"/>
        </w:rPr>
        <w:t>（玖拾伍万柒仟柒佰陆拾玖元）</w:t>
      </w:r>
      <w:r>
        <w:rPr>
          <w:rFonts w:hint="eastAsia" w:ascii="仿宋" w:hAnsi="仿宋" w:eastAsia="仿宋" w:cs="仿宋"/>
          <w:color w:val="auto"/>
          <w:sz w:val="32"/>
          <w:szCs w:val="32"/>
          <w:highlight w:val="none"/>
          <w:lang w:val="en-US" w:eastAsia="zh-CN"/>
        </w:rPr>
        <w:t>；</w:t>
      </w:r>
    </w:p>
    <w:p>
      <w:pPr>
        <w:keepNext w:val="0"/>
        <w:keepLines w:val="0"/>
        <w:pageBreakBefore w:val="0"/>
        <w:kinsoku/>
        <w:wordWrap/>
        <w:overflowPunct/>
        <w:topLinePunct w:val="0"/>
        <w:autoSpaceDE/>
        <w:autoSpaceDN/>
        <w:bidi w:val="0"/>
        <w:spacing w:line="560" w:lineRule="exact"/>
        <w:ind w:firstLine="640" w:firstLineChars="200"/>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olor w:val="auto"/>
          <w:sz w:val="32"/>
          <w:szCs w:val="32"/>
          <w:lang w:val="en-US" w:eastAsia="zh-CN"/>
        </w:rPr>
        <w:t>地块五：</w:t>
      </w:r>
      <w:r>
        <w:rPr>
          <w:rFonts w:hint="eastAsia" w:ascii="仿宋" w:hAnsi="仿宋" w:eastAsia="仿宋"/>
          <w:color w:val="auto"/>
          <w:kern w:val="0"/>
          <w:sz w:val="32"/>
          <w:szCs w:val="32"/>
          <w:lang w:val="en-US" w:eastAsia="zh-CN"/>
        </w:rPr>
        <w:t>1098.3356万元</w:t>
      </w:r>
      <w:r>
        <w:rPr>
          <w:rFonts w:hint="eastAsia" w:ascii="仿宋" w:hAnsi="仿宋" w:eastAsia="仿宋" w:cs="Times New Roman"/>
          <w:color w:val="auto"/>
          <w:sz w:val="32"/>
          <w:szCs w:val="32"/>
          <w:lang w:val="en-US" w:eastAsia="zh-CN"/>
        </w:rPr>
        <w:t>（壹仟零玖拾捌万叁仟叁佰伍拾陆元）</w:t>
      </w:r>
      <w:r>
        <w:rPr>
          <w:rFonts w:hint="eastAsia" w:ascii="仿宋" w:hAnsi="仿宋" w:eastAsia="仿宋" w:cs="仿宋"/>
          <w:color w:val="auto"/>
          <w:sz w:val="32"/>
          <w:szCs w:val="32"/>
          <w:highlight w:val="none"/>
          <w:lang w:val="en-US" w:eastAsia="zh-CN"/>
        </w:rPr>
        <w:t>；</w:t>
      </w:r>
    </w:p>
    <w:p>
      <w:pPr>
        <w:spacing w:line="540" w:lineRule="exact"/>
        <w:ind w:left="0"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rPr>
        <w:t>宗地的挂牌起始价</w:t>
      </w:r>
      <w:r>
        <w:rPr>
          <w:rFonts w:hint="eastAsia" w:ascii="仿宋" w:hAnsi="仿宋" w:eastAsia="仿宋"/>
          <w:color w:val="auto"/>
          <w:sz w:val="32"/>
          <w:szCs w:val="32"/>
          <w:lang w:eastAsia="zh-CN"/>
        </w:rPr>
        <w:t>：</w:t>
      </w:r>
    </w:p>
    <w:p>
      <w:pPr>
        <w:keepNext w:val="0"/>
        <w:keepLines w:val="0"/>
        <w:pageBreakBefore w:val="0"/>
        <w:kinsoku/>
        <w:wordWrap/>
        <w:overflowPunct/>
        <w:topLinePunct w:val="0"/>
        <w:autoSpaceDE/>
        <w:autoSpaceDN/>
        <w:bidi w:val="0"/>
        <w:spacing w:line="560" w:lineRule="exact"/>
        <w:ind w:left="638" w:leftChars="304" w:firstLine="0" w:firstLineChars="0"/>
        <w:textAlignment w:val="baseline"/>
        <w:rPr>
          <w:rFonts w:hint="eastAsia" w:ascii="仿宋" w:hAnsi="仿宋" w:eastAsia="仿宋"/>
          <w:color w:val="auto"/>
          <w:sz w:val="32"/>
          <w:szCs w:val="32"/>
        </w:rPr>
      </w:pPr>
      <w:r>
        <w:rPr>
          <w:rFonts w:hint="eastAsia" w:ascii="仿宋" w:hAnsi="仿宋" w:eastAsia="仿宋"/>
          <w:color w:val="auto"/>
          <w:sz w:val="32"/>
          <w:szCs w:val="32"/>
          <w:lang w:val="en-US" w:eastAsia="zh-CN"/>
        </w:rPr>
        <w:t>地块一：</w:t>
      </w:r>
      <w:r>
        <w:rPr>
          <w:rFonts w:hint="eastAsia" w:ascii="仿宋" w:hAnsi="仿宋" w:eastAsia="仿宋"/>
          <w:color w:val="auto"/>
          <w:kern w:val="0"/>
          <w:sz w:val="32"/>
          <w:szCs w:val="32"/>
          <w:lang w:val="en-US" w:eastAsia="zh-CN"/>
        </w:rPr>
        <w:t>575.6243万元</w:t>
      </w:r>
      <w:r>
        <w:rPr>
          <w:rFonts w:hint="eastAsia" w:ascii="仿宋" w:hAnsi="仿宋" w:eastAsia="仿宋" w:cs="Times New Roman"/>
          <w:color w:val="auto"/>
          <w:sz w:val="32"/>
          <w:szCs w:val="32"/>
          <w:lang w:val="en-US" w:eastAsia="zh-CN"/>
        </w:rPr>
        <w:t>（伍佰柒拾伍万陆仟贰佰肆拾叁元）</w:t>
      </w:r>
      <w:r>
        <w:rPr>
          <w:rFonts w:hint="eastAsia" w:ascii="仿宋" w:hAnsi="仿宋" w:eastAsia="仿宋"/>
          <w:color w:val="auto"/>
          <w:sz w:val="32"/>
          <w:szCs w:val="32"/>
        </w:rPr>
        <w:t>，</w:t>
      </w:r>
      <w:r>
        <w:rPr>
          <w:rFonts w:hint="eastAsia" w:ascii="仿宋" w:hAnsi="仿宋" w:eastAsia="仿宋" w:cs="仿宋"/>
          <w:color w:val="auto"/>
          <w:sz w:val="32"/>
          <w:szCs w:val="32"/>
          <w:highlight w:val="none"/>
          <w:lang w:val="en-US" w:eastAsia="zh-CN"/>
        </w:rPr>
        <w:t>增价幅度为每竞价一次增加人民币10万元（壹拾万元）。</w:t>
      </w:r>
    </w:p>
    <w:p>
      <w:pPr>
        <w:keepNext w:val="0"/>
        <w:keepLines w:val="0"/>
        <w:pageBreakBefore w:val="0"/>
        <w:kinsoku/>
        <w:wordWrap/>
        <w:overflowPunct/>
        <w:topLinePunct w:val="0"/>
        <w:autoSpaceDE/>
        <w:autoSpaceDN/>
        <w:bidi w:val="0"/>
        <w:spacing w:line="560" w:lineRule="exact"/>
        <w:ind w:left="638" w:leftChars="304" w:firstLine="0" w:firstLineChars="0"/>
        <w:textAlignment w:val="baseline"/>
        <w:rPr>
          <w:rFonts w:hint="eastAsia" w:ascii="仿宋" w:hAnsi="仿宋" w:eastAsia="仿宋"/>
          <w:color w:val="auto"/>
          <w:sz w:val="32"/>
          <w:szCs w:val="32"/>
        </w:rPr>
      </w:pPr>
      <w:r>
        <w:rPr>
          <w:rFonts w:hint="eastAsia" w:ascii="仿宋" w:hAnsi="仿宋" w:eastAsia="仿宋"/>
          <w:color w:val="auto"/>
          <w:sz w:val="32"/>
          <w:szCs w:val="32"/>
          <w:lang w:val="en-US" w:eastAsia="zh-CN"/>
        </w:rPr>
        <w:t>地块二：</w:t>
      </w:r>
      <w:r>
        <w:rPr>
          <w:rFonts w:hint="eastAsia" w:ascii="仿宋" w:hAnsi="仿宋" w:eastAsia="仿宋" w:cs="仿宋"/>
          <w:color w:val="auto"/>
          <w:kern w:val="0"/>
          <w:sz w:val="32"/>
          <w:szCs w:val="32"/>
          <w:highlight w:val="none"/>
          <w:lang w:val="en-US" w:eastAsia="zh-CN"/>
        </w:rPr>
        <w:t>70.0323</w:t>
      </w:r>
      <w:r>
        <w:rPr>
          <w:rFonts w:hint="eastAsia" w:ascii="仿宋" w:hAnsi="仿宋" w:eastAsia="仿宋"/>
          <w:color w:val="auto"/>
          <w:kern w:val="0"/>
          <w:sz w:val="32"/>
          <w:szCs w:val="32"/>
          <w:lang w:val="en-US" w:eastAsia="zh-CN"/>
        </w:rPr>
        <w:t>万元</w:t>
      </w:r>
      <w:r>
        <w:rPr>
          <w:rFonts w:hint="eastAsia" w:ascii="仿宋" w:hAnsi="仿宋" w:eastAsia="仿宋" w:cs="Times New Roman"/>
          <w:color w:val="auto"/>
          <w:sz w:val="32"/>
          <w:szCs w:val="32"/>
          <w:lang w:val="en-US" w:eastAsia="zh-CN"/>
        </w:rPr>
        <w:t>（柒拾万零叁佰贰拾叁元）</w:t>
      </w:r>
      <w:r>
        <w:rPr>
          <w:rFonts w:hint="eastAsia" w:ascii="仿宋" w:hAnsi="仿宋" w:eastAsia="仿宋"/>
          <w:color w:val="auto"/>
          <w:sz w:val="32"/>
          <w:szCs w:val="32"/>
        </w:rPr>
        <w:t>，</w:t>
      </w:r>
      <w:r>
        <w:rPr>
          <w:rFonts w:hint="eastAsia" w:ascii="仿宋" w:hAnsi="仿宋" w:eastAsia="仿宋" w:cs="仿宋"/>
          <w:color w:val="auto"/>
          <w:sz w:val="32"/>
          <w:szCs w:val="32"/>
          <w:highlight w:val="none"/>
          <w:lang w:val="en-US" w:eastAsia="zh-CN"/>
        </w:rPr>
        <w:t>增价幅度为每竞价一次增加人民币10万元（壹拾万元）。</w:t>
      </w:r>
    </w:p>
    <w:p>
      <w:pPr>
        <w:keepNext w:val="0"/>
        <w:keepLines w:val="0"/>
        <w:pageBreakBefore w:val="0"/>
        <w:kinsoku/>
        <w:wordWrap/>
        <w:overflowPunct/>
        <w:topLinePunct w:val="0"/>
        <w:autoSpaceDE/>
        <w:autoSpaceDN/>
        <w:bidi w:val="0"/>
        <w:spacing w:line="560" w:lineRule="exact"/>
        <w:ind w:left="638" w:leftChars="304" w:firstLine="0" w:firstLineChars="0"/>
        <w:textAlignment w:val="baseline"/>
        <w:rPr>
          <w:rFonts w:hint="eastAsia" w:ascii="仿宋" w:hAnsi="仿宋" w:eastAsia="仿宋"/>
          <w:color w:val="auto"/>
          <w:sz w:val="32"/>
          <w:szCs w:val="32"/>
        </w:rPr>
      </w:pPr>
      <w:r>
        <w:rPr>
          <w:rFonts w:hint="eastAsia" w:ascii="仿宋" w:hAnsi="仿宋" w:eastAsia="仿宋"/>
          <w:color w:val="auto"/>
          <w:sz w:val="32"/>
          <w:szCs w:val="32"/>
          <w:lang w:val="en-US" w:eastAsia="zh-CN"/>
        </w:rPr>
        <w:t>地块三：</w:t>
      </w:r>
      <w:r>
        <w:rPr>
          <w:rFonts w:hint="eastAsia" w:ascii="仿宋" w:hAnsi="仿宋" w:eastAsia="仿宋" w:cs="仿宋"/>
          <w:color w:val="auto"/>
          <w:kern w:val="0"/>
          <w:sz w:val="32"/>
          <w:szCs w:val="32"/>
          <w:highlight w:val="none"/>
          <w:lang w:val="en-US" w:eastAsia="zh-CN"/>
        </w:rPr>
        <w:t>2.8722万元</w:t>
      </w:r>
      <w:r>
        <w:rPr>
          <w:rFonts w:hint="eastAsia" w:ascii="仿宋" w:hAnsi="仿宋" w:eastAsia="仿宋" w:cs="Times New Roman"/>
          <w:color w:val="auto"/>
          <w:sz w:val="32"/>
          <w:szCs w:val="32"/>
          <w:lang w:val="en-US" w:eastAsia="zh-CN"/>
        </w:rPr>
        <w:t>（贰万捌仟柒佰贰拾贰元）</w:t>
      </w:r>
      <w:r>
        <w:rPr>
          <w:rFonts w:hint="eastAsia" w:ascii="仿宋" w:hAnsi="仿宋" w:eastAsia="仿宋"/>
          <w:color w:val="auto"/>
          <w:sz w:val="32"/>
          <w:szCs w:val="32"/>
        </w:rPr>
        <w:t>，</w:t>
      </w:r>
      <w:r>
        <w:rPr>
          <w:rFonts w:hint="eastAsia" w:ascii="仿宋" w:hAnsi="仿宋" w:eastAsia="仿宋" w:cs="仿宋"/>
          <w:color w:val="auto"/>
          <w:sz w:val="32"/>
          <w:szCs w:val="32"/>
          <w:highlight w:val="none"/>
          <w:lang w:val="en-US" w:eastAsia="zh-CN"/>
        </w:rPr>
        <w:t>增价幅度为每竞价一次增加人民币5万元（伍万元）。</w:t>
      </w:r>
    </w:p>
    <w:p>
      <w:pPr>
        <w:keepNext w:val="0"/>
        <w:keepLines w:val="0"/>
        <w:pageBreakBefore w:val="0"/>
        <w:kinsoku/>
        <w:wordWrap/>
        <w:overflowPunct/>
        <w:topLinePunct w:val="0"/>
        <w:autoSpaceDE/>
        <w:autoSpaceDN/>
        <w:bidi w:val="0"/>
        <w:spacing w:line="560" w:lineRule="exact"/>
        <w:ind w:left="638" w:leftChars="304" w:firstLine="0" w:firstLineChars="0"/>
        <w:textAlignment w:val="baseline"/>
        <w:rPr>
          <w:rFonts w:hint="eastAsia" w:ascii="仿宋" w:hAnsi="仿宋" w:eastAsia="仿宋"/>
          <w:color w:val="auto"/>
          <w:sz w:val="32"/>
          <w:szCs w:val="32"/>
        </w:rPr>
      </w:pPr>
      <w:r>
        <w:rPr>
          <w:rFonts w:hint="eastAsia" w:ascii="仿宋" w:hAnsi="仿宋" w:eastAsia="仿宋"/>
          <w:color w:val="auto"/>
          <w:sz w:val="32"/>
          <w:szCs w:val="32"/>
          <w:lang w:val="en-US" w:eastAsia="zh-CN"/>
        </w:rPr>
        <w:t>地块四：</w:t>
      </w:r>
      <w:r>
        <w:rPr>
          <w:rFonts w:hint="eastAsia" w:ascii="仿宋" w:hAnsi="仿宋" w:eastAsia="仿宋" w:cs="仿宋"/>
          <w:color w:val="auto"/>
          <w:kern w:val="0"/>
          <w:sz w:val="32"/>
          <w:szCs w:val="32"/>
          <w:lang w:val="en-US" w:eastAsia="zh-CN"/>
        </w:rPr>
        <w:t>95.7769万元</w:t>
      </w:r>
      <w:r>
        <w:rPr>
          <w:rFonts w:hint="eastAsia" w:ascii="仿宋" w:hAnsi="仿宋" w:eastAsia="仿宋" w:cs="Times New Roman"/>
          <w:color w:val="auto"/>
          <w:sz w:val="32"/>
          <w:szCs w:val="32"/>
          <w:lang w:val="en-US" w:eastAsia="zh-CN"/>
        </w:rPr>
        <w:t>（玖拾伍万柒仟柒佰陆拾玖元）</w:t>
      </w:r>
      <w:r>
        <w:rPr>
          <w:rFonts w:hint="eastAsia" w:ascii="仿宋" w:hAnsi="仿宋" w:eastAsia="仿宋"/>
          <w:color w:val="auto"/>
          <w:sz w:val="32"/>
          <w:szCs w:val="32"/>
        </w:rPr>
        <w:t>，</w:t>
      </w:r>
      <w:r>
        <w:rPr>
          <w:rFonts w:hint="eastAsia" w:ascii="仿宋" w:hAnsi="仿宋" w:eastAsia="仿宋" w:cs="仿宋"/>
          <w:color w:val="auto"/>
          <w:sz w:val="32"/>
          <w:szCs w:val="32"/>
          <w:highlight w:val="none"/>
          <w:lang w:val="en-US" w:eastAsia="zh-CN"/>
        </w:rPr>
        <w:t>增价幅度为每竞价一次增加人民币10万元（壹拾万元）。</w:t>
      </w:r>
    </w:p>
    <w:p>
      <w:pPr>
        <w:keepNext w:val="0"/>
        <w:keepLines w:val="0"/>
        <w:pageBreakBefore w:val="0"/>
        <w:kinsoku/>
        <w:wordWrap/>
        <w:overflowPunct/>
        <w:topLinePunct w:val="0"/>
        <w:autoSpaceDE/>
        <w:autoSpaceDN/>
        <w:bidi w:val="0"/>
        <w:spacing w:line="560" w:lineRule="exact"/>
        <w:ind w:left="638" w:leftChars="304" w:firstLine="0" w:firstLineChars="0"/>
        <w:textAlignment w:val="baseline"/>
        <w:rPr>
          <w:rFonts w:hint="eastAsia" w:ascii="仿宋" w:hAnsi="仿宋" w:eastAsia="仿宋"/>
          <w:color w:val="auto"/>
          <w:sz w:val="32"/>
          <w:szCs w:val="32"/>
        </w:rPr>
      </w:pPr>
      <w:r>
        <w:rPr>
          <w:rFonts w:hint="eastAsia" w:ascii="仿宋" w:hAnsi="仿宋" w:eastAsia="仿宋"/>
          <w:color w:val="auto"/>
          <w:sz w:val="32"/>
          <w:szCs w:val="32"/>
          <w:lang w:val="en-US" w:eastAsia="zh-CN"/>
        </w:rPr>
        <w:t>地块五：</w:t>
      </w:r>
      <w:r>
        <w:rPr>
          <w:rFonts w:hint="eastAsia" w:ascii="仿宋" w:hAnsi="仿宋" w:eastAsia="仿宋"/>
          <w:color w:val="auto"/>
          <w:kern w:val="0"/>
          <w:sz w:val="32"/>
          <w:szCs w:val="32"/>
          <w:lang w:val="en-US" w:eastAsia="zh-CN"/>
        </w:rPr>
        <w:t>1098.3356万元</w:t>
      </w:r>
      <w:r>
        <w:rPr>
          <w:rFonts w:hint="eastAsia" w:ascii="仿宋" w:hAnsi="仿宋" w:eastAsia="仿宋" w:cs="Times New Roman"/>
          <w:color w:val="auto"/>
          <w:sz w:val="32"/>
          <w:szCs w:val="32"/>
          <w:lang w:val="en-US" w:eastAsia="zh-CN"/>
        </w:rPr>
        <w:t>（壹仟零玖拾捌万叁仟叁佰伍拾陆元）</w:t>
      </w:r>
      <w:r>
        <w:rPr>
          <w:rFonts w:hint="eastAsia" w:ascii="仿宋" w:hAnsi="仿宋" w:eastAsia="仿宋"/>
          <w:color w:val="auto"/>
          <w:sz w:val="32"/>
          <w:szCs w:val="32"/>
        </w:rPr>
        <w:t>，</w:t>
      </w:r>
      <w:r>
        <w:rPr>
          <w:rFonts w:hint="eastAsia" w:ascii="仿宋" w:hAnsi="仿宋" w:eastAsia="仿宋" w:cs="仿宋"/>
          <w:color w:val="auto"/>
          <w:sz w:val="32"/>
          <w:szCs w:val="32"/>
          <w:highlight w:val="none"/>
          <w:lang w:val="en-US" w:eastAsia="zh-CN"/>
        </w:rPr>
        <w:t>增价幅度为每竞价一次增加人民币10万元（壹拾万元）。</w:t>
      </w:r>
    </w:p>
    <w:p>
      <w:pPr>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五、网上竞买申请流程</w:t>
      </w:r>
      <w:r>
        <w:rPr>
          <w:rFonts w:hint="eastAsia" w:ascii="仿宋" w:hAnsi="仿宋" w:eastAsia="仿宋"/>
          <w:color w:val="auto"/>
          <w:sz w:val="32"/>
          <w:szCs w:val="32"/>
        </w:rPr>
        <w:tab/>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s="FangSong_GB2312"/>
          <w:color w:val="auto"/>
          <w:sz w:val="32"/>
          <w:szCs w:val="32"/>
        </w:rPr>
        <w:t>（一）</w:t>
      </w:r>
      <w:r>
        <w:rPr>
          <w:rFonts w:hint="eastAsia" w:ascii="仿宋" w:hAnsi="仿宋" w:eastAsia="仿宋" w:cs="FangSong_GB2312"/>
          <w:bCs/>
          <w:color w:val="auto"/>
          <w:sz w:val="32"/>
          <w:szCs w:val="32"/>
        </w:rPr>
        <w:t>CA数字证书的获取及绑定</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s="FangSong_GB2312"/>
          <w:bCs/>
          <w:color w:val="auto"/>
          <w:sz w:val="32"/>
          <w:szCs w:val="32"/>
        </w:rPr>
        <w:t>1、获取方式</w:t>
      </w:r>
    </w:p>
    <w:p>
      <w:pPr>
        <w:tabs>
          <w:tab w:val="left" w:pos="4380"/>
        </w:tabs>
        <w:spacing w:line="540" w:lineRule="exact"/>
        <w:ind w:left="0" w:firstLine="640" w:firstLineChars="200"/>
        <w:rPr>
          <w:rFonts w:ascii="仿宋" w:hAnsi="仿宋" w:eastAsia="仿宋" w:cs="FangSong_GB2312"/>
          <w:color w:val="auto"/>
          <w:sz w:val="32"/>
          <w:szCs w:val="32"/>
        </w:rPr>
      </w:pPr>
      <w:r>
        <w:rPr>
          <w:rFonts w:hint="eastAsia" w:ascii="仿宋" w:hAnsi="仿宋" w:eastAsia="仿宋" w:cs="FangSong_GB2312"/>
          <w:color w:val="auto"/>
          <w:sz w:val="32"/>
          <w:szCs w:val="32"/>
        </w:rPr>
        <w:t>竞买人在报名期内登录“内蒙古自治区国土资源网上交易系统”使用CA证书获取预申购资源的竞买申请书。CA证书的办理流程详见乌海市公共资源交易中心网站办事指南中CA办理指南。</w:t>
      </w:r>
    </w:p>
    <w:p>
      <w:pPr>
        <w:tabs>
          <w:tab w:val="left" w:pos="4380"/>
        </w:tabs>
        <w:spacing w:line="540" w:lineRule="exact"/>
        <w:ind w:left="0" w:firstLine="640" w:firstLineChars="200"/>
        <w:rPr>
          <w:rFonts w:ascii="仿宋" w:hAnsi="仿宋" w:eastAsia="仿宋" w:cs="FangSong_GB2312"/>
          <w:color w:val="auto"/>
          <w:sz w:val="32"/>
          <w:szCs w:val="32"/>
        </w:rPr>
      </w:pPr>
      <w:r>
        <w:rPr>
          <w:rFonts w:hint="eastAsia" w:ascii="仿宋" w:hAnsi="仿宋" w:eastAsia="仿宋" w:cs="FangSong_GB2312"/>
          <w:color w:val="auto"/>
          <w:sz w:val="32"/>
          <w:szCs w:val="32"/>
        </w:rPr>
        <w:t>2、CA数字证书驱动下载及系统绑定</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（1）在计算机上插入</w:t>
      </w:r>
      <w:r>
        <w:rPr>
          <w:rStyle w:val="17"/>
          <w:rFonts w:hint="eastAsia" w:ascii="仿宋" w:hAnsi="仿宋" w:eastAsia="仿宋"/>
          <w:b w:val="0"/>
          <w:color w:val="auto"/>
          <w:sz w:val="32"/>
          <w:szCs w:val="32"/>
        </w:rPr>
        <w:t>CA数字证书</w:t>
      </w:r>
      <w:r>
        <w:rPr>
          <w:rFonts w:hint="eastAsia" w:ascii="仿宋" w:hAnsi="仿宋" w:eastAsia="仿宋"/>
          <w:color w:val="auto"/>
          <w:sz w:val="32"/>
          <w:szCs w:val="32"/>
        </w:rPr>
        <w:t>，打开IE浏览器输入网址：http://110.16.70.81:8090/trade-engine/trade/index进入内蒙古自治区国土资源交易系统首页（IE浏览器版本不得低于IE10）；</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（2）点击“服务中心”，进入资料下载列表，在此可下载</w:t>
      </w:r>
      <w:r>
        <w:rPr>
          <w:rStyle w:val="17"/>
          <w:rFonts w:hint="eastAsia" w:ascii="仿宋" w:hAnsi="仿宋" w:eastAsia="仿宋"/>
          <w:b w:val="0"/>
          <w:color w:val="auto"/>
          <w:sz w:val="32"/>
          <w:szCs w:val="32"/>
        </w:rPr>
        <w:t>CA数字证书驱动</w:t>
      </w:r>
      <w:r>
        <w:rPr>
          <w:rFonts w:hint="eastAsia" w:ascii="仿宋" w:hAnsi="仿宋" w:eastAsia="仿宋"/>
          <w:color w:val="auto"/>
          <w:sz w:val="32"/>
          <w:szCs w:val="32"/>
        </w:rPr>
        <w:t>；</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（3）驱动安装完成后在“网上交易系统”左上方点击“请登录”按钮进入到系统登录页面，点击“互认平台认证登陆”，页面自动跳转至</w:t>
      </w:r>
      <w:r>
        <w:rPr>
          <w:rStyle w:val="17"/>
          <w:rFonts w:hint="eastAsia" w:ascii="仿宋" w:hAnsi="仿宋" w:eastAsia="仿宋"/>
          <w:b w:val="0"/>
          <w:color w:val="auto"/>
          <w:sz w:val="32"/>
          <w:szCs w:val="32"/>
        </w:rPr>
        <w:t>内蒙古自治区统一认证平台</w:t>
      </w:r>
      <w:r>
        <w:rPr>
          <w:rFonts w:hint="eastAsia" w:ascii="仿宋" w:hAnsi="仿宋" w:eastAsia="仿宋"/>
          <w:color w:val="auto"/>
          <w:sz w:val="32"/>
          <w:szCs w:val="32"/>
        </w:rPr>
        <w:t>，需先点击“互认平台认证登录”输入密码进行CA认证，最后点击“进入授权”按钮，登录成功。</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（二）本次土地挂牌出让采用网上竞买申请的方式，竞买人在报名期内插入CA数字证书使用IE浏览器（IE浏览器版本不得低于IE10）登录</w:t>
      </w:r>
      <w:r>
        <w:rPr>
          <w:rFonts w:hint="eastAsia" w:ascii="仿宋" w:hAnsi="仿宋" w:eastAsia="仿宋" w:cs="FangSong_GB2312"/>
          <w:color w:val="auto"/>
          <w:sz w:val="32"/>
          <w:szCs w:val="32"/>
        </w:rPr>
        <w:t>内蒙古自治区国土资源交易系统（http://110.16.70.81:8090/trade-engine/trade/index）</w:t>
      </w:r>
      <w:r>
        <w:rPr>
          <w:rFonts w:hint="eastAsia" w:ascii="仿宋" w:hAnsi="仿宋" w:eastAsia="仿宋"/>
          <w:color w:val="auto"/>
          <w:sz w:val="32"/>
          <w:szCs w:val="32"/>
        </w:rPr>
        <w:t>点击预申购的资源。</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（三）竞买申请书填写</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填写《竞买申请书》，填写完成后点击“下载签章文件”按钮，将签章文件保存至计算机。</w:t>
      </w:r>
    </w:p>
    <w:p>
      <w:pPr>
        <w:tabs>
          <w:tab w:val="left" w:pos="4380"/>
        </w:tabs>
        <w:spacing w:line="540" w:lineRule="exact"/>
        <w:ind w:left="0" w:firstLine="640" w:firstLineChars="200"/>
        <w:rPr>
          <w:rFonts w:ascii="仿宋" w:hAnsi="仿宋" w:eastAsia="仿宋" w:cs="FangSong_GB2312"/>
          <w:bCs/>
          <w:color w:val="auto"/>
          <w:sz w:val="32"/>
          <w:szCs w:val="32"/>
        </w:rPr>
      </w:pPr>
      <w:r>
        <w:rPr>
          <w:rFonts w:hint="eastAsia" w:ascii="仿宋" w:hAnsi="仿宋" w:eastAsia="仿宋" w:cs="FangSong_GB2312"/>
          <w:bCs/>
          <w:color w:val="auto"/>
          <w:sz w:val="32"/>
          <w:szCs w:val="32"/>
        </w:rPr>
        <w:t>1、在线签章</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填写完竞买申请书,点击“进行电子签章”按钮，进入电子签章的页面，点击页面上方的“文件下载”按钮，在控件中点击“打开”按钮打开下载的文件，点击控件中的“签章”按钮，输入CA数字证书密码,将章放置指定位置点击鼠标左键，签章完成会自动覆盖下载的文件；之后点击“文件保存”按钮,在弹出的窗口中选定签章后的文件,保存成功后将页面拉至底部,点击下一步。</w:t>
      </w:r>
    </w:p>
    <w:p>
      <w:pPr>
        <w:tabs>
          <w:tab w:val="left" w:pos="4380"/>
        </w:tabs>
        <w:spacing w:line="540" w:lineRule="exact"/>
        <w:ind w:left="0" w:firstLine="640" w:firstLineChars="200"/>
        <w:rPr>
          <w:rFonts w:ascii="仿宋" w:hAnsi="仿宋" w:eastAsia="仿宋" w:cs="FangSong_GB2312"/>
          <w:bCs/>
          <w:color w:val="auto"/>
          <w:sz w:val="32"/>
          <w:szCs w:val="32"/>
        </w:rPr>
      </w:pPr>
      <w:r>
        <w:rPr>
          <w:rFonts w:hint="eastAsia" w:ascii="仿宋" w:hAnsi="仿宋" w:eastAsia="仿宋" w:cs="FangSong_GB2312"/>
          <w:bCs/>
          <w:color w:val="auto"/>
          <w:sz w:val="32"/>
          <w:szCs w:val="32"/>
        </w:rPr>
        <w:t>2、保证金缴纳</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竞买人提交签章文件后，点击“选择银行”按钮选择银行，系统自动生成保证金交纳通知书，竞买人按照通知书中指定的保证金子账号将履约保证金足额交纳。交纳完成后回到交易系统内查看到账情况，获取竞买资格确认书，完成竞买申请。</w:t>
      </w:r>
    </w:p>
    <w:p>
      <w:pPr>
        <w:tabs>
          <w:tab w:val="left" w:pos="4380"/>
        </w:tabs>
        <w:spacing w:line="540" w:lineRule="exact"/>
        <w:ind w:left="0" w:firstLine="640" w:firstLineChars="200"/>
        <w:rPr>
          <w:rFonts w:ascii="仿宋" w:hAnsi="仿宋" w:eastAsia="仿宋"/>
          <w:bCs/>
          <w:color w:val="auto"/>
          <w:sz w:val="32"/>
          <w:szCs w:val="32"/>
        </w:rPr>
      </w:pPr>
      <w:r>
        <w:rPr>
          <w:rFonts w:hint="eastAsia" w:ascii="仿宋" w:hAnsi="仿宋" w:eastAsia="仿宋"/>
          <w:bCs/>
          <w:color w:val="auto"/>
          <w:sz w:val="32"/>
          <w:szCs w:val="32"/>
        </w:rPr>
        <w:t>注：如对系统操作存在疑问，可点击交易系统“服务中心”栏目下的“资料下载”功能下载用户操作手册。</w:t>
      </w:r>
    </w:p>
    <w:p>
      <w:pPr>
        <w:tabs>
          <w:tab w:val="left" w:pos="4380"/>
        </w:tabs>
        <w:spacing w:line="540" w:lineRule="exact"/>
        <w:ind w:left="0" w:firstLine="640" w:firstLineChars="200"/>
        <w:rPr>
          <w:rStyle w:val="17"/>
          <w:rFonts w:ascii="仿宋" w:hAnsi="仿宋" w:eastAsia="仿宋"/>
          <w:b w:val="0"/>
          <w:color w:val="auto"/>
          <w:sz w:val="32"/>
          <w:szCs w:val="32"/>
        </w:rPr>
      </w:pPr>
      <w:r>
        <w:rPr>
          <w:rStyle w:val="17"/>
          <w:rFonts w:hint="eastAsia" w:ascii="仿宋" w:hAnsi="仿宋" w:eastAsia="仿宋"/>
          <w:b w:val="0"/>
          <w:color w:val="auto"/>
          <w:sz w:val="32"/>
          <w:szCs w:val="32"/>
        </w:rPr>
        <w:t>六、网上挂牌报价</w:t>
      </w:r>
    </w:p>
    <w:p>
      <w:pPr>
        <w:tabs>
          <w:tab w:val="left" w:pos="4380"/>
        </w:tabs>
        <w:spacing w:line="540" w:lineRule="exact"/>
        <w:ind w:left="0" w:firstLine="640" w:firstLineChars="200"/>
        <w:rPr>
          <w:rFonts w:ascii="仿宋" w:hAnsi="仿宋" w:eastAsia="仿宋"/>
          <w:color w:val="FF0000"/>
          <w:sz w:val="32"/>
          <w:szCs w:val="32"/>
        </w:rPr>
      </w:pPr>
      <w:r>
        <w:rPr>
          <w:rFonts w:hint="eastAsia" w:ascii="仿宋" w:hAnsi="仿宋" w:eastAsia="仿宋"/>
          <w:color w:val="auto"/>
          <w:sz w:val="32"/>
          <w:szCs w:val="32"/>
        </w:rPr>
        <w:t>（一）挂牌报价：资源进入挂牌期，竞买人插入CA数字证书登录“网上交易系统”，选择资源点击“竞买报价”按钮进入挂牌出价页面，按要求选择增加幅度的倍数，点击右下角“确认出价”按钮即可完成报价。</w:t>
      </w:r>
      <w:r>
        <w:rPr>
          <w:rFonts w:hint="eastAsia" w:ascii="仿宋" w:hAnsi="仿宋" w:eastAsia="仿宋"/>
          <w:color w:val="FF0000"/>
          <w:sz w:val="32"/>
          <w:szCs w:val="32"/>
          <w:shd w:val="clear" w:color="auto" w:fill="FFFFFF"/>
          <w:lang w:eastAsia="zh-CN"/>
        </w:rPr>
        <w:t>（</w:t>
      </w:r>
      <w:r>
        <w:rPr>
          <w:rFonts w:hint="eastAsia" w:ascii="仿宋" w:hAnsi="仿宋" w:eastAsia="仿宋"/>
          <w:color w:val="FF0000"/>
          <w:sz w:val="32"/>
          <w:szCs w:val="32"/>
          <w:shd w:val="clear" w:color="auto" w:fill="FFFFFF"/>
          <w:lang w:val="en-US" w:eastAsia="zh-CN"/>
        </w:rPr>
        <w:t>提示：竞买人报价后可以刷新页面确定报价是否成功，请不要连续点击报价按钮，避免重复报价）</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挂牌期内竞买人可以多次出价，每次报价必须按增价幅度的倍数报价且高于当前最高有效报价。</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（二）挂牌期确定预竞得人：挂牌期内只有一个竞买人报价且高于底价确定为预竞得人，报价低于底价不成交。资源挂牌期截止后，有两个以上的竞买人参与挂牌报价，系统进入限时竞价。</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特别提示：</w:t>
      </w:r>
    </w:p>
    <w:p>
      <w:pPr>
        <w:tabs>
          <w:tab w:val="left" w:pos="4380"/>
        </w:tabs>
        <w:spacing w:line="540" w:lineRule="exact"/>
        <w:ind w:left="0" w:firstLine="640" w:firstLineChars="200"/>
        <w:rPr>
          <w:rStyle w:val="17"/>
          <w:rFonts w:ascii="仿宋" w:hAnsi="仿宋" w:eastAsia="仿宋"/>
          <w:b w:val="0"/>
          <w:color w:val="auto"/>
          <w:sz w:val="32"/>
          <w:szCs w:val="32"/>
        </w:rPr>
      </w:pPr>
      <w:r>
        <w:rPr>
          <w:rStyle w:val="17"/>
          <w:rFonts w:hint="eastAsia" w:ascii="仿宋" w:hAnsi="仿宋" w:eastAsia="仿宋"/>
          <w:b w:val="0"/>
          <w:color w:val="auto"/>
          <w:sz w:val="32"/>
          <w:szCs w:val="32"/>
        </w:rPr>
        <w:t>竞买人须在资源挂牌期间进行一次网上有效报价，才有资格参加之后的限时竞价环节，否则视为自动放弃竞买权。</w:t>
      </w:r>
    </w:p>
    <w:p>
      <w:pPr>
        <w:tabs>
          <w:tab w:val="left" w:pos="4380"/>
        </w:tabs>
        <w:spacing w:line="540" w:lineRule="exact"/>
        <w:ind w:left="0" w:firstLine="640" w:firstLineChars="200"/>
        <w:rPr>
          <w:rStyle w:val="17"/>
          <w:rFonts w:ascii="仿宋" w:hAnsi="仿宋" w:eastAsia="仿宋"/>
          <w:b w:val="0"/>
          <w:color w:val="auto"/>
          <w:sz w:val="32"/>
          <w:szCs w:val="32"/>
        </w:rPr>
      </w:pPr>
      <w:r>
        <w:rPr>
          <w:rStyle w:val="17"/>
          <w:rFonts w:hint="eastAsia" w:ascii="仿宋" w:hAnsi="仿宋" w:eastAsia="仿宋"/>
          <w:b w:val="0"/>
          <w:color w:val="auto"/>
          <w:sz w:val="32"/>
          <w:szCs w:val="32"/>
        </w:rPr>
        <w:t>七、限时竞价</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（一）询问期：资源挂牌期截止后，有两个以上的竞买人参与挂牌报价，系统自动进入</w:t>
      </w:r>
      <w:r>
        <w:rPr>
          <w:rStyle w:val="17"/>
          <w:rFonts w:hint="eastAsia" w:ascii="仿宋" w:hAnsi="仿宋" w:eastAsia="仿宋"/>
          <w:b w:val="0"/>
          <w:color w:val="auto"/>
          <w:sz w:val="32"/>
          <w:szCs w:val="32"/>
        </w:rPr>
        <w:t>3</w:t>
      </w:r>
      <w:r>
        <w:rPr>
          <w:rFonts w:hint="eastAsia" w:ascii="仿宋" w:hAnsi="仿宋" w:eastAsia="仿宋"/>
          <w:color w:val="auto"/>
          <w:sz w:val="32"/>
          <w:szCs w:val="32"/>
        </w:rPr>
        <w:t>分钟询问期，询问期结束后，进入限时竞价环节；</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（二）限时竞价：进入限时竞价环节的竞买人需在系统设定的倒计时时间内进行报价，报价应是增价幅度的倍数，系统以</w:t>
      </w:r>
      <w:r>
        <w:rPr>
          <w:rStyle w:val="17"/>
          <w:rFonts w:hint="eastAsia" w:ascii="仿宋" w:hAnsi="仿宋" w:eastAsia="仿宋"/>
          <w:b w:val="0"/>
          <w:color w:val="auto"/>
          <w:sz w:val="32"/>
          <w:szCs w:val="32"/>
        </w:rPr>
        <w:t>4</w:t>
      </w:r>
      <w:r>
        <w:rPr>
          <w:rFonts w:hint="eastAsia" w:ascii="仿宋" w:hAnsi="仿宋" w:eastAsia="仿宋"/>
          <w:color w:val="auto"/>
          <w:sz w:val="32"/>
          <w:szCs w:val="32"/>
        </w:rPr>
        <w:t>分钟倒计时为竞价时限，如在</w:t>
      </w:r>
      <w:r>
        <w:rPr>
          <w:rStyle w:val="17"/>
          <w:rFonts w:hint="eastAsia" w:ascii="仿宋" w:hAnsi="仿宋" w:eastAsia="仿宋"/>
          <w:b w:val="0"/>
          <w:color w:val="auto"/>
          <w:sz w:val="32"/>
          <w:szCs w:val="32"/>
        </w:rPr>
        <w:t>4</w:t>
      </w:r>
      <w:r>
        <w:rPr>
          <w:rFonts w:hint="eastAsia" w:ascii="仿宋" w:hAnsi="仿宋" w:eastAsia="仿宋"/>
          <w:color w:val="auto"/>
          <w:sz w:val="32"/>
          <w:szCs w:val="32"/>
        </w:rPr>
        <w:t>分钟倒计时内有新的报价，系统即从接受新报价之时起重置竞价时限，竞买人可参加新一轮的报价。</w:t>
      </w:r>
      <w:r>
        <w:rPr>
          <w:rStyle w:val="17"/>
          <w:rFonts w:hint="eastAsia" w:ascii="仿宋" w:hAnsi="仿宋" w:eastAsia="仿宋"/>
          <w:b w:val="0"/>
          <w:color w:val="auto"/>
          <w:sz w:val="32"/>
          <w:szCs w:val="32"/>
        </w:rPr>
        <w:t>4</w:t>
      </w:r>
      <w:r>
        <w:rPr>
          <w:rFonts w:hint="eastAsia" w:ascii="仿宋" w:hAnsi="仿宋" w:eastAsia="仿宋"/>
          <w:color w:val="auto"/>
          <w:sz w:val="32"/>
          <w:szCs w:val="32"/>
        </w:rPr>
        <w:t>分钟倒计时内无人报价，则在该地块</w:t>
      </w:r>
      <w:r>
        <w:rPr>
          <w:rStyle w:val="17"/>
          <w:rFonts w:hint="eastAsia" w:ascii="仿宋" w:hAnsi="仿宋" w:eastAsia="仿宋"/>
          <w:b w:val="0"/>
          <w:color w:val="auto"/>
          <w:sz w:val="32"/>
          <w:szCs w:val="32"/>
        </w:rPr>
        <w:t>4</w:t>
      </w:r>
      <w:r>
        <w:rPr>
          <w:rFonts w:hint="eastAsia" w:ascii="仿宋" w:hAnsi="仿宋" w:eastAsia="仿宋"/>
          <w:color w:val="auto"/>
          <w:sz w:val="32"/>
          <w:szCs w:val="32"/>
        </w:rPr>
        <w:t>分钟倒计时结束时自动关闭竞价通道，系统确定当前最高有效报价，限时竞价结束。</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三）确定预竞得人：限时竞价结束系统判定当前最高有效报价是否达到底价，不低于底价的确定为预竞得人；低于底价不成交。限时竞价中无人报价的，以挂牌交易截止时最高有效报价为最终报价确定其为预竞得人。</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（四）预竞得人登录“网上交易系统”在“个人中心-&gt;我的文档”中打印《国有土地使用权预成交确认书》。</w:t>
      </w:r>
    </w:p>
    <w:p>
      <w:pPr>
        <w:tabs>
          <w:tab w:val="left" w:pos="4380"/>
        </w:tabs>
        <w:spacing w:line="540" w:lineRule="exact"/>
        <w:ind w:left="0" w:firstLine="640" w:firstLineChars="200"/>
        <w:rPr>
          <w:rStyle w:val="17"/>
          <w:rFonts w:ascii="仿宋" w:hAnsi="仿宋" w:eastAsia="仿宋"/>
          <w:b w:val="0"/>
          <w:color w:val="auto"/>
          <w:sz w:val="32"/>
          <w:szCs w:val="32"/>
        </w:rPr>
      </w:pPr>
      <w:r>
        <w:rPr>
          <w:rStyle w:val="17"/>
          <w:rFonts w:hint="eastAsia" w:ascii="仿宋" w:hAnsi="仿宋" w:eastAsia="仿宋"/>
          <w:b w:val="0"/>
          <w:color w:val="auto"/>
          <w:sz w:val="32"/>
          <w:szCs w:val="32"/>
        </w:rPr>
        <w:t>八、资质审查</w:t>
      </w:r>
    </w:p>
    <w:p>
      <w:pPr>
        <w:tabs>
          <w:tab w:val="left" w:pos="4380"/>
        </w:tabs>
        <w:spacing w:line="540" w:lineRule="exact"/>
        <w:ind w:left="0" w:firstLine="643" w:firstLineChars="200"/>
        <w:rPr>
          <w:rFonts w:hint="eastAsia" w:ascii="仿宋" w:hAnsi="仿宋" w:eastAsia="仿宋"/>
          <w:b/>
          <w:bCs/>
          <w:color w:val="auto"/>
          <w:sz w:val="32"/>
          <w:szCs w:val="32"/>
        </w:rPr>
      </w:pPr>
      <w:r>
        <w:rPr>
          <w:rFonts w:hint="eastAsia" w:ascii="仿宋" w:hAnsi="仿宋" w:eastAsia="仿宋"/>
          <w:b/>
          <w:bCs/>
          <w:color w:val="auto"/>
          <w:sz w:val="32"/>
          <w:szCs w:val="32"/>
        </w:rPr>
        <w:t>预竞得人在系统签发《国有土地使用权预成交确认书》的2个工作日内，将企业营业执照原件扫描件、法定代表人身份证原件扫描件、如委托他人办理的须上传委托书及受托人身份证原件扫描件、《国有土地使用权预成交确认书》</w:t>
      </w:r>
      <w:r>
        <w:rPr>
          <w:rFonts w:hint="eastAsia" w:ascii="仿宋" w:hAnsi="仿宋" w:eastAsia="仿宋"/>
          <w:b/>
          <w:bCs/>
          <w:color w:val="auto"/>
          <w:sz w:val="32"/>
          <w:szCs w:val="32"/>
          <w:lang w:eastAsia="zh-CN"/>
        </w:rPr>
        <w:t>、</w:t>
      </w:r>
      <w:r>
        <w:rPr>
          <w:rFonts w:hint="eastAsia" w:ascii="仿宋" w:hAnsi="仿宋" w:eastAsia="仿宋"/>
          <w:b/>
          <w:bCs/>
          <w:color w:val="auto"/>
          <w:sz w:val="32"/>
          <w:szCs w:val="32"/>
          <w:lang w:val="en-US" w:eastAsia="zh-CN"/>
        </w:rPr>
        <w:t>保证金缴纳回执单</w:t>
      </w:r>
      <w:r>
        <w:rPr>
          <w:rFonts w:hint="eastAsia" w:ascii="仿宋" w:hAnsi="仿宋" w:eastAsia="仿宋"/>
          <w:b/>
          <w:bCs/>
          <w:color w:val="auto"/>
          <w:sz w:val="32"/>
          <w:szCs w:val="32"/>
        </w:rPr>
        <w:t>上传至交易系统。房地产开发和商业用地，预竞得人须上传保证金不属于银行贷款、股东借款、转贷和募集资金的承诺书及商业金融机构的资信证明。交易中心在线对其进行资格确认。 通过资格确认的，交易中心签发《成交确认书》，未通过资格确认的取消其竞得资格。</w:t>
      </w:r>
    </w:p>
    <w:p>
      <w:pPr>
        <w:tabs>
          <w:tab w:val="left" w:pos="4380"/>
        </w:tabs>
        <w:spacing w:line="540" w:lineRule="exact"/>
        <w:ind w:left="0" w:firstLine="640" w:firstLineChars="200"/>
        <w:rPr>
          <w:rStyle w:val="17"/>
          <w:rFonts w:ascii="仿宋" w:hAnsi="仿宋" w:eastAsia="仿宋"/>
          <w:b w:val="0"/>
          <w:color w:val="auto"/>
          <w:sz w:val="32"/>
          <w:szCs w:val="32"/>
        </w:rPr>
      </w:pPr>
      <w:r>
        <w:rPr>
          <w:rStyle w:val="17"/>
          <w:rFonts w:hint="eastAsia" w:ascii="仿宋" w:hAnsi="仿宋" w:eastAsia="仿宋"/>
          <w:b w:val="0"/>
          <w:color w:val="auto"/>
          <w:sz w:val="32"/>
          <w:szCs w:val="32"/>
        </w:rPr>
        <w:t>九、成交确认</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在资格审查结束后，根据审查结果确定资源成交，竞得人持所需材料在公告约定时间内与出让人签订国有土地使用权成交确认书；未通过审核的取消其竞得资格。</w:t>
      </w:r>
    </w:p>
    <w:p>
      <w:pPr>
        <w:tabs>
          <w:tab w:val="left" w:pos="4380"/>
        </w:tabs>
        <w:spacing w:line="540" w:lineRule="exact"/>
        <w:ind w:left="0" w:firstLine="640" w:firstLineChars="200"/>
        <w:rPr>
          <w:rStyle w:val="17"/>
          <w:rFonts w:ascii="仿宋" w:hAnsi="仿宋" w:eastAsia="仿宋"/>
          <w:b w:val="0"/>
          <w:color w:val="auto"/>
          <w:sz w:val="32"/>
          <w:szCs w:val="32"/>
        </w:rPr>
      </w:pPr>
      <w:r>
        <w:rPr>
          <w:rStyle w:val="17"/>
          <w:rFonts w:hint="eastAsia" w:ascii="仿宋" w:hAnsi="仿宋" w:eastAsia="仿宋"/>
          <w:b w:val="0"/>
          <w:color w:val="auto"/>
          <w:sz w:val="32"/>
          <w:szCs w:val="32"/>
        </w:rPr>
        <w:t>十、结果公示</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成交确认书签订后，出让人与交易机构10个工作日内在相关网站发布成交结果公示，公示期不少于5天。</w:t>
      </w:r>
    </w:p>
    <w:p>
      <w:pPr>
        <w:tabs>
          <w:tab w:val="left" w:pos="4380"/>
        </w:tabs>
        <w:spacing w:line="540" w:lineRule="exact"/>
        <w:ind w:left="0" w:firstLine="640" w:firstLineChars="200"/>
        <w:rPr>
          <w:rStyle w:val="17"/>
          <w:rFonts w:ascii="仿宋" w:hAnsi="仿宋" w:eastAsia="仿宋"/>
          <w:b w:val="0"/>
          <w:color w:val="auto"/>
          <w:sz w:val="32"/>
          <w:szCs w:val="32"/>
        </w:rPr>
      </w:pPr>
      <w:r>
        <w:rPr>
          <w:rStyle w:val="17"/>
          <w:rFonts w:hint="eastAsia" w:ascii="仿宋" w:hAnsi="仿宋" w:eastAsia="仿宋"/>
          <w:b w:val="0"/>
          <w:color w:val="auto"/>
          <w:sz w:val="32"/>
          <w:szCs w:val="32"/>
        </w:rPr>
        <w:t>十一、保证金的处置</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交易公示结束后，未竞得人的保证金5个工作日原路退还至基本账户（不计利息），竞得人的保证金可转做国有土地使用权出让金。</w:t>
      </w:r>
    </w:p>
    <w:p>
      <w:pPr>
        <w:tabs>
          <w:tab w:val="left" w:pos="4380"/>
        </w:tabs>
        <w:spacing w:line="540" w:lineRule="exact"/>
        <w:ind w:left="0" w:firstLine="640" w:firstLineChars="200"/>
        <w:rPr>
          <w:rFonts w:ascii="仿宋" w:hAnsi="仿宋" w:eastAsia="仿宋"/>
          <w:color w:val="auto"/>
          <w:sz w:val="32"/>
          <w:szCs w:val="32"/>
        </w:rPr>
      </w:pPr>
      <w:r>
        <w:rPr>
          <w:rStyle w:val="17"/>
          <w:rFonts w:hint="eastAsia" w:ascii="仿宋" w:hAnsi="仿宋" w:eastAsia="仿宋"/>
          <w:b w:val="0"/>
          <w:color w:val="auto"/>
          <w:sz w:val="32"/>
          <w:szCs w:val="32"/>
        </w:rPr>
        <w:t>十二、</w:t>
      </w:r>
      <w:r>
        <w:rPr>
          <w:rFonts w:hint="eastAsia" w:ascii="仿宋" w:hAnsi="仿宋" w:eastAsia="仿宋"/>
          <w:color w:val="auto"/>
          <w:sz w:val="32"/>
          <w:szCs w:val="32"/>
        </w:rPr>
        <w:t>竞买人未按照公告及挂牌出让文件全部要求执行的，所造成的一切损失和法律后果由竞买人自行承担。</w:t>
      </w:r>
    </w:p>
    <w:p>
      <w:pPr>
        <w:tabs>
          <w:tab w:val="left" w:pos="4380"/>
        </w:tabs>
        <w:spacing w:line="540" w:lineRule="exact"/>
        <w:ind w:left="0" w:firstLine="640" w:firstLineChars="200"/>
        <w:rPr>
          <w:rFonts w:ascii="仿宋" w:hAnsi="仿宋" w:eastAsia="仿宋"/>
          <w:color w:val="auto"/>
          <w:sz w:val="32"/>
          <w:szCs w:val="32"/>
        </w:rPr>
      </w:pPr>
      <w:r>
        <w:rPr>
          <w:rStyle w:val="17"/>
          <w:rFonts w:hint="eastAsia" w:ascii="仿宋" w:hAnsi="仿宋" w:eastAsia="仿宋"/>
          <w:b w:val="0"/>
          <w:color w:val="auto"/>
          <w:sz w:val="32"/>
          <w:szCs w:val="32"/>
        </w:rPr>
        <w:t>十三、</w:t>
      </w:r>
      <w:r>
        <w:rPr>
          <w:rFonts w:hint="eastAsia" w:ascii="仿宋" w:hAnsi="仿宋" w:eastAsia="仿宋"/>
          <w:color w:val="auto"/>
          <w:sz w:val="32"/>
          <w:szCs w:val="32"/>
        </w:rPr>
        <w:t>竞买人在“网上交易系统”实施的所有行为，均由“网上交易系统”自动记录，视为竞买人真实或经合法授权的行为，该行为所引起的法律责任由竞买人承担。</w:t>
      </w:r>
    </w:p>
    <w:p>
      <w:pPr>
        <w:tabs>
          <w:tab w:val="left" w:pos="4380"/>
        </w:tabs>
        <w:spacing w:line="540" w:lineRule="exact"/>
        <w:ind w:left="0" w:firstLine="640" w:firstLineChars="200"/>
        <w:rPr>
          <w:rFonts w:ascii="仿宋" w:hAnsi="仿宋" w:eastAsia="仿宋"/>
          <w:color w:val="auto"/>
          <w:sz w:val="32"/>
          <w:szCs w:val="32"/>
        </w:rPr>
      </w:pPr>
      <w:r>
        <w:rPr>
          <w:rStyle w:val="17"/>
          <w:rFonts w:hint="eastAsia" w:ascii="仿宋" w:hAnsi="仿宋" w:eastAsia="仿宋"/>
          <w:b w:val="0"/>
          <w:color w:val="auto"/>
          <w:sz w:val="32"/>
          <w:szCs w:val="32"/>
        </w:rPr>
        <w:t>十四、</w:t>
      </w:r>
      <w:r>
        <w:rPr>
          <w:rFonts w:hint="eastAsia" w:ascii="仿宋" w:hAnsi="仿宋" w:eastAsia="仿宋"/>
          <w:color w:val="auto"/>
          <w:sz w:val="32"/>
          <w:szCs w:val="32"/>
        </w:rPr>
        <w:t>竞买人应当妥善保管数字证书和密码。因竞买人电脑操作系统被侵入或其他自身原因导致数字证书遗失或密码泄漏等造成的损失，由竞买人自行承担。</w:t>
      </w:r>
    </w:p>
    <w:p>
      <w:pPr>
        <w:tabs>
          <w:tab w:val="left" w:pos="4380"/>
        </w:tabs>
        <w:spacing w:line="540" w:lineRule="exact"/>
        <w:ind w:left="0" w:firstLine="640" w:firstLineChars="200"/>
        <w:rPr>
          <w:rFonts w:ascii="仿宋" w:hAnsi="仿宋" w:eastAsia="仿宋"/>
          <w:color w:val="auto"/>
          <w:sz w:val="32"/>
          <w:szCs w:val="32"/>
        </w:rPr>
      </w:pPr>
      <w:r>
        <w:rPr>
          <w:rStyle w:val="17"/>
          <w:rFonts w:hint="eastAsia" w:ascii="仿宋" w:hAnsi="仿宋" w:eastAsia="仿宋"/>
          <w:b w:val="0"/>
          <w:color w:val="auto"/>
          <w:sz w:val="32"/>
          <w:szCs w:val="32"/>
        </w:rPr>
        <w:t>十五、</w:t>
      </w:r>
      <w:r>
        <w:rPr>
          <w:rFonts w:hint="eastAsia" w:ascii="仿宋" w:hAnsi="仿宋" w:eastAsia="仿宋"/>
          <w:color w:val="auto"/>
          <w:sz w:val="32"/>
          <w:szCs w:val="32"/>
        </w:rPr>
        <w:t>竞买人在参与网上公开交易活动前，应当及时检查所使用的计算机系统，若计算机系统遭遇网络安全事故（包括黑客攻击、病毒入侵等）、网络堵塞和系统硬件故障等导致不能正常登录网上交易系统进行竞买申请、网上报价、限时竞价的，产生的后果由竞买人自行承担。</w:t>
      </w:r>
    </w:p>
    <w:p>
      <w:pPr>
        <w:tabs>
          <w:tab w:val="left" w:pos="4380"/>
        </w:tabs>
        <w:spacing w:line="540" w:lineRule="exact"/>
        <w:ind w:left="0" w:firstLine="640" w:firstLineChars="200"/>
        <w:rPr>
          <w:rStyle w:val="17"/>
          <w:rFonts w:ascii="仿宋" w:hAnsi="仿宋" w:eastAsia="仿宋"/>
          <w:b w:val="0"/>
          <w:color w:val="auto"/>
          <w:sz w:val="32"/>
          <w:szCs w:val="32"/>
        </w:rPr>
      </w:pPr>
      <w:r>
        <w:rPr>
          <w:rStyle w:val="17"/>
          <w:rFonts w:hint="eastAsia" w:ascii="仿宋" w:hAnsi="仿宋" w:eastAsia="仿宋"/>
          <w:b w:val="0"/>
          <w:color w:val="auto"/>
          <w:sz w:val="32"/>
          <w:szCs w:val="32"/>
        </w:rPr>
        <w:t>十六、</w:t>
      </w:r>
      <w:r>
        <w:rPr>
          <w:rFonts w:hint="eastAsia" w:ascii="仿宋" w:hAnsi="仿宋" w:eastAsia="仿宋"/>
          <w:color w:val="auto"/>
          <w:sz w:val="32"/>
          <w:szCs w:val="32"/>
        </w:rPr>
        <w:t>有下列情形之一的，国有土地使用权交易行为应中止</w:t>
      </w:r>
      <w:r>
        <w:rPr>
          <w:rStyle w:val="17"/>
          <w:rFonts w:hint="eastAsia" w:ascii="仿宋" w:hAnsi="仿宋" w:eastAsia="仿宋"/>
          <w:b w:val="0"/>
          <w:color w:val="auto"/>
          <w:sz w:val="32"/>
          <w:szCs w:val="32"/>
        </w:rPr>
        <w:t>：</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（一）网上交易系统受到网络恶意入侵的；</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（二）因网上交易系统遭受破坏或发生电力、网络故障等不可抗力的非交易中心因素，导致网上交易系统不能正常运行的；</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（三）因不可抗力应当中止国有土地使用权交易的其他情形。</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国有土地使用权交易行为中止的原因消除后，应当及时恢复国有土地使用权交易。</w:t>
      </w:r>
    </w:p>
    <w:p>
      <w:pPr>
        <w:tabs>
          <w:tab w:val="left" w:pos="4380"/>
        </w:tabs>
        <w:spacing w:line="540" w:lineRule="exact"/>
        <w:ind w:left="0" w:firstLine="640" w:firstLineChars="200"/>
        <w:rPr>
          <w:rFonts w:ascii="仿宋" w:hAnsi="仿宋" w:eastAsia="仿宋"/>
          <w:color w:val="auto"/>
          <w:sz w:val="32"/>
          <w:szCs w:val="32"/>
        </w:rPr>
      </w:pPr>
      <w:r>
        <w:rPr>
          <w:rStyle w:val="17"/>
          <w:rFonts w:hint="eastAsia" w:ascii="仿宋" w:hAnsi="仿宋" w:eastAsia="仿宋"/>
          <w:b w:val="0"/>
          <w:color w:val="auto"/>
          <w:sz w:val="32"/>
          <w:szCs w:val="32"/>
        </w:rPr>
        <w:t>十七、</w:t>
      </w:r>
      <w:r>
        <w:rPr>
          <w:rFonts w:hint="eastAsia" w:ascii="仿宋" w:hAnsi="仿宋" w:eastAsia="仿宋"/>
          <w:color w:val="auto"/>
          <w:sz w:val="32"/>
          <w:szCs w:val="32"/>
        </w:rPr>
        <w:t>出现以下情形之一的即视为竞得人违约，出让人有权解除《成交确认书》，并取消竞得人的资格。</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（一）竞得人提供的资质条件证明文件虚假的；</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（二）竞得人隐瞒事实，恶意串通或采取其他非法手段竞得的；</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（三）竞得人拒绝签订《成交确认书》；</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（四）公示期间有举报且经调查核实属违法违规行为的。</w:t>
      </w:r>
    </w:p>
    <w:p>
      <w:pPr>
        <w:tabs>
          <w:tab w:val="left" w:pos="4380"/>
        </w:tabs>
        <w:spacing w:line="540" w:lineRule="exact"/>
        <w:ind w:left="0" w:firstLine="640" w:firstLineChars="200"/>
        <w:rPr>
          <w:rStyle w:val="17"/>
          <w:rFonts w:ascii="仿宋" w:hAnsi="仿宋" w:eastAsia="仿宋"/>
          <w:b w:val="0"/>
          <w:color w:val="auto"/>
          <w:sz w:val="32"/>
          <w:szCs w:val="32"/>
        </w:rPr>
      </w:pPr>
      <w:r>
        <w:rPr>
          <w:rStyle w:val="17"/>
          <w:rFonts w:hint="eastAsia" w:ascii="仿宋" w:hAnsi="仿宋" w:eastAsia="仿宋"/>
          <w:b w:val="0"/>
          <w:color w:val="auto"/>
          <w:sz w:val="32"/>
          <w:szCs w:val="32"/>
        </w:rPr>
        <w:t>十八、</w:t>
      </w:r>
      <w:r>
        <w:rPr>
          <w:rFonts w:hint="eastAsia" w:ascii="仿宋" w:hAnsi="仿宋" w:eastAsia="仿宋"/>
          <w:color w:val="auto"/>
          <w:sz w:val="32"/>
          <w:szCs w:val="32"/>
        </w:rPr>
        <w:t>出让人对本《国有土地使用权挂牌出让须知》有最终解释权。</w:t>
      </w:r>
    </w:p>
    <w:p>
      <w:pPr>
        <w:pStyle w:val="12"/>
        <w:shd w:val="clear" w:color="auto" w:fill="FFFFFF"/>
        <w:spacing w:before="0" w:beforeAutospacing="0" w:after="0" w:afterAutospacing="0" w:line="540" w:lineRule="exact"/>
        <w:ind w:firstLine="200"/>
        <w:jc w:val="both"/>
        <w:rPr>
          <w:rStyle w:val="17"/>
          <w:rFonts w:ascii="仿宋" w:hAnsi="仿宋" w:eastAsia="仿宋"/>
          <w:b w:val="0"/>
          <w:color w:val="auto"/>
          <w:sz w:val="32"/>
          <w:szCs w:val="32"/>
        </w:rPr>
      </w:pPr>
    </w:p>
    <w:p>
      <w:pPr>
        <w:pStyle w:val="12"/>
        <w:shd w:val="clear" w:color="auto" w:fill="FFFFFF"/>
        <w:spacing w:before="0" w:beforeAutospacing="0" w:after="0" w:afterAutospacing="0" w:line="540" w:lineRule="exact"/>
        <w:ind w:firstLine="200"/>
        <w:jc w:val="right"/>
        <w:rPr>
          <w:rFonts w:ascii="仿宋" w:hAnsi="仿宋" w:eastAsia="仿宋"/>
          <w:color w:val="auto"/>
          <w:sz w:val="32"/>
          <w:szCs w:val="32"/>
        </w:rPr>
      </w:pPr>
      <w:r>
        <w:rPr>
          <w:rStyle w:val="17"/>
          <w:rFonts w:hint="eastAsia" w:ascii="仿宋" w:hAnsi="仿宋" w:eastAsia="仿宋"/>
          <w:b w:val="0"/>
          <w:color w:val="auto"/>
          <w:sz w:val="32"/>
          <w:szCs w:val="32"/>
        </w:rPr>
        <w:t>乌海市公共资源交易中心</w:t>
      </w:r>
    </w:p>
    <w:p>
      <w:pPr>
        <w:pStyle w:val="12"/>
        <w:shd w:val="clear" w:color="auto" w:fill="FFFFFF"/>
        <w:spacing w:before="0" w:beforeAutospacing="0" w:after="0" w:afterAutospacing="0" w:line="540" w:lineRule="exact"/>
        <w:ind w:firstLine="6560" w:firstLineChars="2050"/>
        <w:jc w:val="both"/>
        <w:rPr>
          <w:rFonts w:ascii="仿宋" w:hAnsi="仿宋" w:eastAsia="仿宋"/>
          <w:color w:val="auto"/>
          <w:sz w:val="32"/>
          <w:szCs w:val="32"/>
          <w:highlight w:val="none"/>
        </w:rPr>
      </w:pP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2</w:t>
      </w:r>
      <w:r>
        <w:rPr>
          <w:rFonts w:hint="eastAsia" w:ascii="仿宋" w:hAnsi="仿宋" w:eastAsia="仿宋" w:cs="FangSong_GB2312"/>
          <w:color w:val="auto"/>
          <w:sz w:val="32"/>
          <w:szCs w:val="32"/>
          <w:highlight w:val="none"/>
        </w:rPr>
        <w:t>年</w:t>
      </w:r>
      <w:r>
        <w:rPr>
          <w:rFonts w:hint="eastAsia" w:ascii="仿宋" w:hAnsi="仿宋" w:eastAsia="仿宋" w:cs="FangSong_GB2312"/>
          <w:color w:val="auto"/>
          <w:sz w:val="32"/>
          <w:szCs w:val="32"/>
          <w:highlight w:val="none"/>
          <w:lang w:val="en-US" w:eastAsia="zh-CN"/>
        </w:rPr>
        <w:t>8</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29</w:t>
      </w:r>
      <w:r>
        <w:rPr>
          <w:rFonts w:hint="eastAsia" w:ascii="仿宋" w:hAnsi="仿宋" w:eastAsia="仿宋" w:cs="FangSong_GB2312"/>
          <w:color w:val="auto"/>
          <w:sz w:val="32"/>
          <w:szCs w:val="32"/>
          <w:highlight w:val="none"/>
        </w:rPr>
        <w:t>日</w:t>
      </w:r>
    </w:p>
    <w:p>
      <w:pPr>
        <w:pStyle w:val="12"/>
        <w:shd w:val="clear" w:color="auto" w:fill="FFFFFF"/>
        <w:spacing w:before="0" w:beforeAutospacing="0" w:after="0" w:afterAutospacing="0" w:line="540" w:lineRule="exact"/>
        <w:ind w:firstLine="6560" w:firstLineChars="2050"/>
        <w:jc w:val="both"/>
        <w:rPr>
          <w:rFonts w:ascii="仿宋" w:hAnsi="仿宋" w:eastAsia="仿宋"/>
          <w:color w:val="auto"/>
          <w:sz w:val="32"/>
          <w:szCs w:val="32"/>
        </w:rPr>
      </w:pPr>
    </w:p>
    <w:bookmarkEnd w:id="0"/>
    <w:sectPr>
      <w:headerReference r:id="rId5" w:type="default"/>
      <w:footerReference r:id="rId7" w:type="default"/>
      <w:headerReference r:id="rId6" w:type="even"/>
      <w:footerReference r:id="rId8" w:type="even"/>
      <w:endnotePr>
        <w:numFmt w:val="ideographDigital"/>
      </w:endnotePr>
      <w:pgSz w:w="11905" w:h="16837"/>
      <w:pgMar w:top="737" w:right="1134" w:bottom="737" w:left="1134" w:header="567" w:footer="567"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2010609060101010101"/>
    <w:charset w:val="00"/>
    <w:family w:val="roma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FangSong_GB2312falt">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Align="top"/>
      <w:ind w:right="360" w:firstLine="360"/>
    </w:pPr>
  </w:p>
  <w:p>
    <w:pPr>
      <w:ind w:firstLine="8505" w:firstLineChars="4050"/>
    </w:pPr>
    <w:r>
      <w:fldChar w:fldCharType="begin"/>
    </w:r>
    <w:r>
      <w:instrText xml:space="preserve"> PAGE  </w:instrText>
    </w:r>
    <w:r>
      <w:fldChar w:fldCharType="separate"/>
    </w:r>
    <w:r>
      <w:t>- 1 -</w:t>
    </w:r>
    <w:r>
      <w:fldChar w:fldCharType="end"/>
    </w:r>
  </w:p>
  <w:p>
    <w:pPr>
      <w:spacing w:line="1" w:lineRule="atLeas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Align="top"/>
      <w:ind w:left="0" w:firstLine="0"/>
    </w:pPr>
    <w:r>
      <w:fldChar w:fldCharType="begin"/>
    </w:r>
    <w:r>
      <w:instrText xml:space="preserve"> PAGE  </w:instrText>
    </w:r>
    <w:r>
      <w:fldChar w:fldCharType="separate"/>
    </w:r>
    <w:r>
      <w:t>- 2 -</w:t>
    </w:r>
    <w:r>
      <w:fldChar w:fldCharType="end"/>
    </w:r>
  </w:p>
  <w:p>
    <w:pPr>
      <w:ind w:left="0"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61312" behindDoc="1" locked="0" layoutInCell="1" allowOverlap="1">
              <wp:simplePos x="0" y="0"/>
              <wp:positionH relativeFrom="page">
                <wp:posOffset>719455</wp:posOffset>
              </wp:positionH>
              <wp:positionV relativeFrom="page">
                <wp:posOffset>359410</wp:posOffset>
              </wp:positionV>
              <wp:extent cx="6116320" cy="180340"/>
              <wp:effectExtent l="0" t="0" r="0" b="0"/>
              <wp:wrapNone/>
              <wp:docPr id="3" name="文本框 5"/>
              <wp:cNvGraphicFramePr/>
              <a:graphic xmlns:a="http://schemas.openxmlformats.org/drawingml/2006/main">
                <a:graphicData uri="http://schemas.microsoft.com/office/word/2010/wordprocessingShape">
                  <wps:wsp>
                    <wps:cNvSpPr txBox="1"/>
                    <wps:spPr>
                      <a:xfrm>
                        <a:off x="0" y="0"/>
                        <a:ext cx="6116320" cy="180340"/>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5" o:spid="_x0000_s1026" o:spt="202" type="#_x0000_t202" style="position:absolute;left:0pt;margin-left:56.65pt;margin-top:28.3pt;height:14.2pt;width:481.6pt;mso-position-horizontal-relative:page;mso-position-vertical-relative:page;z-index:-251655168;mso-width-relative:page;mso-height-relative:page;" filled="f" stroked="f" coordsize="21600,21600" o:gfxdata="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94oHbZAAAACgEAAA8AAAAAAAAAAQAgAAAAIgAAAGRycy9kb3ducmV2&#10;LnhtbFBLAQIUABQAAAAIAIdO4kBoClfiwgEAAJADAAAOAAAAAAAAAAEAIAAAACgBAABkcnMvZTJv&#10;RG9jLnhtbFBLBQYAAAAABgAGAFkBAABcBQAAAAA=&#10;">
              <v:fill on="f" focussize="0,0"/>
              <v:stroke on="f"/>
              <v:imagedata o:title=""/>
              <o:lock v:ext="edit" aspectratio="f"/>
              <v:textbox inset="1mm,1mm,1mm,1mm">
                <w:txbxContent>
                  <w:p>
                    <w:pPr>
                      <w:spacing w:line="334" w:lineRule="atLeast"/>
                      <w:ind w:firstLine="0"/>
                    </w:pP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719455</wp:posOffset>
              </wp:positionH>
              <wp:positionV relativeFrom="page">
                <wp:posOffset>10144760</wp:posOffset>
              </wp:positionV>
              <wp:extent cx="6116320" cy="179705"/>
              <wp:effectExtent l="0" t="0" r="0" b="0"/>
              <wp:wrapNone/>
              <wp:docPr id="4" name="文本框 6"/>
              <wp:cNvGraphicFramePr/>
              <a:graphic xmlns:a="http://schemas.openxmlformats.org/drawingml/2006/main">
                <a:graphicData uri="http://schemas.microsoft.com/office/word/2010/wordprocessingShape">
                  <wps:wsp>
                    <wps:cNvSpPr txBox="1"/>
                    <wps:spPr>
                      <a:xfrm>
                        <a:off x="0" y="0"/>
                        <a:ext cx="6116320" cy="179705"/>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6" o:spid="_x0000_s1026" o:spt="202" type="#_x0000_t202" style="position:absolute;left:0pt;margin-left:56.65pt;margin-top:798.8pt;height:14.15pt;width:481.6pt;mso-position-horizontal-relative:page;mso-position-vertical-relative:page;z-index:-251654144;mso-width-relative:page;mso-height-relative:page;" filled="f" stroked="f" coordsize="21600,21600" o:gfxdata="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mrw1/cAAAADgEAAA8AAAAAAAAAAQAgAAAAIgAAAGRycy9kb3du&#10;cmV2LnhtbFBLAQIUABQAAAAIAIdO4kACriO+wgEAAJADAAAOAAAAAAAAAAEAIAAAACsBAABkcnMv&#10;ZTJvRG9jLnhtbFBLBQYAAAAABgAGAFkBAABfBQAAAAA=&#10;">
              <v:fill on="f" focussize="0,0"/>
              <v:stroke on="f"/>
              <v:imagedata o:title=""/>
              <o:lock v:ext="edit" aspectratio="f"/>
              <v:textbox inset="1mm,1mm,1mm,1mm">
                <w:txbxContent>
                  <w:p>
                    <w:pPr>
                      <w:spacing w:line="334" w:lineRule="atLeast"/>
                      <w:ind w:firstLine="0"/>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59264" behindDoc="1" locked="0" layoutInCell="1" allowOverlap="1">
              <wp:simplePos x="0" y="0"/>
              <wp:positionH relativeFrom="page">
                <wp:posOffset>719455</wp:posOffset>
              </wp:positionH>
              <wp:positionV relativeFrom="page">
                <wp:posOffset>359410</wp:posOffset>
              </wp:positionV>
              <wp:extent cx="6116320" cy="180340"/>
              <wp:effectExtent l="0" t="0" r="0" b="0"/>
              <wp:wrapNone/>
              <wp:docPr id="1" name="文本框 2"/>
              <wp:cNvGraphicFramePr/>
              <a:graphic xmlns:a="http://schemas.openxmlformats.org/drawingml/2006/main">
                <a:graphicData uri="http://schemas.microsoft.com/office/word/2010/wordprocessingShape">
                  <wps:wsp>
                    <wps:cNvSpPr txBox="1"/>
                    <wps:spPr>
                      <a:xfrm>
                        <a:off x="0" y="0"/>
                        <a:ext cx="6116320" cy="180340"/>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2" o:spid="_x0000_s1026" o:spt="202" type="#_x0000_t202" style="position:absolute;left:0pt;margin-left:56.65pt;margin-top:28.3pt;height:14.2pt;width:481.6pt;mso-position-horizontal-relative:page;mso-position-vertical-relative:page;z-index:-251657216;mso-width-relative:page;mso-height-relative:page;" filled="f" stroked="f" coordsize="21600,21600" o:gfxdata="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94oHbZAAAACgEAAA8AAAAAAAAAAQAgAAAAIgAAAGRycy9kb3ducmV2&#10;LnhtbFBLAQIUABQAAAAIAIdO4kCgQUwFwgEAAJADAAAOAAAAAAAAAAEAIAAAACgBAABkcnMvZTJv&#10;RG9jLnhtbFBLBQYAAAAABgAGAFkBAABcBQAAAAA=&#10;">
              <v:fill on="f" focussize="0,0"/>
              <v:stroke on="f"/>
              <v:imagedata o:title=""/>
              <o:lock v:ext="edit" aspectratio="f"/>
              <v:textbox inset="1mm,1mm,1mm,1mm">
                <w:txbxContent>
                  <w:p>
                    <w:pPr>
                      <w:spacing w:line="334" w:lineRule="atLeast"/>
                      <w:ind w:firstLine="0"/>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719455</wp:posOffset>
              </wp:positionH>
              <wp:positionV relativeFrom="page">
                <wp:posOffset>10144760</wp:posOffset>
              </wp:positionV>
              <wp:extent cx="6116320" cy="179705"/>
              <wp:effectExtent l="0" t="0" r="0" b="0"/>
              <wp:wrapNone/>
              <wp:docPr id="2" name="文本框 3"/>
              <wp:cNvGraphicFramePr/>
              <a:graphic xmlns:a="http://schemas.openxmlformats.org/drawingml/2006/main">
                <a:graphicData uri="http://schemas.microsoft.com/office/word/2010/wordprocessingShape">
                  <wps:wsp>
                    <wps:cNvSpPr txBox="1"/>
                    <wps:spPr>
                      <a:xfrm>
                        <a:off x="0" y="0"/>
                        <a:ext cx="6116320" cy="179705"/>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3" o:spid="_x0000_s1026" o:spt="202" type="#_x0000_t202" style="position:absolute;left:0pt;margin-left:56.65pt;margin-top:798.8pt;height:14.15pt;width:481.6pt;mso-position-horizontal-relative:page;mso-position-vertical-relative:page;z-index:-251656192;mso-width-relative:page;mso-height-relative:page;" filled="f" stroked="f" coordsize="21600,21600" o:gfxdata="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avDX9wAAAAOAQAADwAAAAAAAAABACAAAAAiAAAAZHJzL2Rvd25y&#10;ZXYueG1sUEsBAhQAFAAAAAgAh07iQGCHSArBAQAAkAMAAA4AAAAAAAAAAQAgAAAAKwEAAGRycy9l&#10;Mm9Eb2MueG1sUEsFBgAAAAAGAAYAWQEAAF4FAAAAAA==&#10;">
              <v:fill on="f" focussize="0,0"/>
              <v:stroke on="f"/>
              <v:imagedata o:title=""/>
              <o:lock v:ext="edit" aspectratio="f"/>
              <v:textbox inset="1mm,1mm,1mm,1mm">
                <w:txbxContent>
                  <w:p>
                    <w:pPr>
                      <w:spacing w:line="334" w:lineRule="atLeast"/>
                      <w:ind w:firstLine="0"/>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D7FC2"/>
    <w:multiLevelType w:val="singleLevel"/>
    <w:tmpl w:val="870D7FC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839"/>
  <w:doNotHyphenateCaps/>
  <w:evenAndOddHeaders w:val="1"/>
  <w:drawingGridHorizontalSpacing w:val="0"/>
  <w:drawingGridVerticalSpacing w:val="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footnotePr>
    <w:footnote w:id="0"/>
    <w:footnote w:id="1"/>
  </w:footnotePr>
  <w:endnotePr>
    <w:numFmt w:val="ideographDigital"/>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yNjgzMzdmYjMzMDExNDk3N2U2ZDlkMjVlNjE3ZDgifQ=="/>
  </w:docVars>
  <w:rsids>
    <w:rsidRoot w:val="00172A27"/>
    <w:rsid w:val="0000006B"/>
    <w:rsid w:val="00007762"/>
    <w:rsid w:val="00007854"/>
    <w:rsid w:val="0001394F"/>
    <w:rsid w:val="00015418"/>
    <w:rsid w:val="00016D91"/>
    <w:rsid w:val="0002146D"/>
    <w:rsid w:val="00021D7C"/>
    <w:rsid w:val="000241E5"/>
    <w:rsid w:val="000248DA"/>
    <w:rsid w:val="0003072E"/>
    <w:rsid w:val="00031921"/>
    <w:rsid w:val="00033D76"/>
    <w:rsid w:val="00034099"/>
    <w:rsid w:val="000346E9"/>
    <w:rsid w:val="00036CE6"/>
    <w:rsid w:val="00037F5F"/>
    <w:rsid w:val="000432BC"/>
    <w:rsid w:val="00044C1B"/>
    <w:rsid w:val="00045B77"/>
    <w:rsid w:val="00047060"/>
    <w:rsid w:val="000504F8"/>
    <w:rsid w:val="00055034"/>
    <w:rsid w:val="00055432"/>
    <w:rsid w:val="000559AB"/>
    <w:rsid w:val="00056060"/>
    <w:rsid w:val="000636A6"/>
    <w:rsid w:val="00063B89"/>
    <w:rsid w:val="00063F8F"/>
    <w:rsid w:val="00065479"/>
    <w:rsid w:val="0006702F"/>
    <w:rsid w:val="00067DBF"/>
    <w:rsid w:val="00070638"/>
    <w:rsid w:val="00075C37"/>
    <w:rsid w:val="00075E74"/>
    <w:rsid w:val="00076166"/>
    <w:rsid w:val="00076F9F"/>
    <w:rsid w:val="000773A3"/>
    <w:rsid w:val="0008471F"/>
    <w:rsid w:val="00085E5B"/>
    <w:rsid w:val="00087B8C"/>
    <w:rsid w:val="00092342"/>
    <w:rsid w:val="00092CC4"/>
    <w:rsid w:val="000961BE"/>
    <w:rsid w:val="000962C5"/>
    <w:rsid w:val="000A4243"/>
    <w:rsid w:val="000A5FFF"/>
    <w:rsid w:val="000B2F57"/>
    <w:rsid w:val="000B3F56"/>
    <w:rsid w:val="000B4F7D"/>
    <w:rsid w:val="000B5158"/>
    <w:rsid w:val="000B5884"/>
    <w:rsid w:val="000B74DD"/>
    <w:rsid w:val="000C33D4"/>
    <w:rsid w:val="000C3764"/>
    <w:rsid w:val="000C4394"/>
    <w:rsid w:val="000C5ADA"/>
    <w:rsid w:val="000D18E6"/>
    <w:rsid w:val="000D2100"/>
    <w:rsid w:val="000D2812"/>
    <w:rsid w:val="000D2AEF"/>
    <w:rsid w:val="000D47CF"/>
    <w:rsid w:val="000D5CE5"/>
    <w:rsid w:val="000D7E39"/>
    <w:rsid w:val="000E1628"/>
    <w:rsid w:val="000E1FC2"/>
    <w:rsid w:val="000E2D66"/>
    <w:rsid w:val="000F4AD6"/>
    <w:rsid w:val="000F5E64"/>
    <w:rsid w:val="0010359E"/>
    <w:rsid w:val="00106683"/>
    <w:rsid w:val="00106C3F"/>
    <w:rsid w:val="00107256"/>
    <w:rsid w:val="0011052F"/>
    <w:rsid w:val="00112335"/>
    <w:rsid w:val="00113A6F"/>
    <w:rsid w:val="0011625D"/>
    <w:rsid w:val="00117B5B"/>
    <w:rsid w:val="00120182"/>
    <w:rsid w:val="001225C1"/>
    <w:rsid w:val="00123A0E"/>
    <w:rsid w:val="00123C51"/>
    <w:rsid w:val="0012433C"/>
    <w:rsid w:val="00124A24"/>
    <w:rsid w:val="00126276"/>
    <w:rsid w:val="001265A3"/>
    <w:rsid w:val="001266C1"/>
    <w:rsid w:val="001279A9"/>
    <w:rsid w:val="00130129"/>
    <w:rsid w:val="00132492"/>
    <w:rsid w:val="001332A7"/>
    <w:rsid w:val="00133CE9"/>
    <w:rsid w:val="00136F33"/>
    <w:rsid w:val="001405A6"/>
    <w:rsid w:val="00140C02"/>
    <w:rsid w:val="00141C7B"/>
    <w:rsid w:val="001422A6"/>
    <w:rsid w:val="001449E2"/>
    <w:rsid w:val="00150B66"/>
    <w:rsid w:val="00150E51"/>
    <w:rsid w:val="001543CF"/>
    <w:rsid w:val="00162DAB"/>
    <w:rsid w:val="00165AD2"/>
    <w:rsid w:val="00166C34"/>
    <w:rsid w:val="00172A27"/>
    <w:rsid w:val="00173B3B"/>
    <w:rsid w:val="00177686"/>
    <w:rsid w:val="00180BB9"/>
    <w:rsid w:val="001814E7"/>
    <w:rsid w:val="00182448"/>
    <w:rsid w:val="001845E6"/>
    <w:rsid w:val="001867A7"/>
    <w:rsid w:val="00187121"/>
    <w:rsid w:val="00187464"/>
    <w:rsid w:val="00192C14"/>
    <w:rsid w:val="00197FCB"/>
    <w:rsid w:val="001A21E0"/>
    <w:rsid w:val="001A3305"/>
    <w:rsid w:val="001B16CB"/>
    <w:rsid w:val="001B35FD"/>
    <w:rsid w:val="001B5718"/>
    <w:rsid w:val="001B73C8"/>
    <w:rsid w:val="001C357D"/>
    <w:rsid w:val="001C3645"/>
    <w:rsid w:val="001C38F4"/>
    <w:rsid w:val="001C47A8"/>
    <w:rsid w:val="001C7F3C"/>
    <w:rsid w:val="001D1B9E"/>
    <w:rsid w:val="001D3725"/>
    <w:rsid w:val="001D37F8"/>
    <w:rsid w:val="001D582B"/>
    <w:rsid w:val="001D61C7"/>
    <w:rsid w:val="001D66B6"/>
    <w:rsid w:val="001D7AFC"/>
    <w:rsid w:val="001E525B"/>
    <w:rsid w:val="001E5555"/>
    <w:rsid w:val="001E6183"/>
    <w:rsid w:val="001E7FEC"/>
    <w:rsid w:val="001F1488"/>
    <w:rsid w:val="001F1A8E"/>
    <w:rsid w:val="001F3045"/>
    <w:rsid w:val="001F534F"/>
    <w:rsid w:val="001F777E"/>
    <w:rsid w:val="002005F0"/>
    <w:rsid w:val="00201BD3"/>
    <w:rsid w:val="002022E7"/>
    <w:rsid w:val="00202339"/>
    <w:rsid w:val="00202668"/>
    <w:rsid w:val="00202A9C"/>
    <w:rsid w:val="002067C8"/>
    <w:rsid w:val="00211A1A"/>
    <w:rsid w:val="00211C8B"/>
    <w:rsid w:val="00213086"/>
    <w:rsid w:val="00217B8B"/>
    <w:rsid w:val="00217E96"/>
    <w:rsid w:val="00223F59"/>
    <w:rsid w:val="00224B49"/>
    <w:rsid w:val="00227FC8"/>
    <w:rsid w:val="00231DAD"/>
    <w:rsid w:val="00231E37"/>
    <w:rsid w:val="00231F7E"/>
    <w:rsid w:val="002321CB"/>
    <w:rsid w:val="0023398F"/>
    <w:rsid w:val="00234701"/>
    <w:rsid w:val="002400AD"/>
    <w:rsid w:val="00240176"/>
    <w:rsid w:val="0024210E"/>
    <w:rsid w:val="0024388E"/>
    <w:rsid w:val="00245B27"/>
    <w:rsid w:val="00250184"/>
    <w:rsid w:val="00250227"/>
    <w:rsid w:val="00250448"/>
    <w:rsid w:val="00250D2D"/>
    <w:rsid w:val="00250E39"/>
    <w:rsid w:val="00253BD1"/>
    <w:rsid w:val="002543D6"/>
    <w:rsid w:val="002558FD"/>
    <w:rsid w:val="00256566"/>
    <w:rsid w:val="00257E8C"/>
    <w:rsid w:val="002632AA"/>
    <w:rsid w:val="00263B2F"/>
    <w:rsid w:val="00264B73"/>
    <w:rsid w:val="00265E63"/>
    <w:rsid w:val="00273486"/>
    <w:rsid w:val="00273B44"/>
    <w:rsid w:val="00273D05"/>
    <w:rsid w:val="00274EBA"/>
    <w:rsid w:val="00274F29"/>
    <w:rsid w:val="002762AF"/>
    <w:rsid w:val="0027760B"/>
    <w:rsid w:val="00281383"/>
    <w:rsid w:val="00281C98"/>
    <w:rsid w:val="00282CD1"/>
    <w:rsid w:val="0028321A"/>
    <w:rsid w:val="0028441F"/>
    <w:rsid w:val="00284C04"/>
    <w:rsid w:val="002851D3"/>
    <w:rsid w:val="00286DEB"/>
    <w:rsid w:val="00286E95"/>
    <w:rsid w:val="00291432"/>
    <w:rsid w:val="0029287E"/>
    <w:rsid w:val="00293346"/>
    <w:rsid w:val="00294413"/>
    <w:rsid w:val="00295D73"/>
    <w:rsid w:val="00295D82"/>
    <w:rsid w:val="00296B94"/>
    <w:rsid w:val="0029741C"/>
    <w:rsid w:val="002A048D"/>
    <w:rsid w:val="002A0978"/>
    <w:rsid w:val="002A1EB4"/>
    <w:rsid w:val="002A2F79"/>
    <w:rsid w:val="002A30CD"/>
    <w:rsid w:val="002A3B5C"/>
    <w:rsid w:val="002B33DD"/>
    <w:rsid w:val="002B5FBB"/>
    <w:rsid w:val="002C1FA1"/>
    <w:rsid w:val="002C23B8"/>
    <w:rsid w:val="002C3CA2"/>
    <w:rsid w:val="002C5A17"/>
    <w:rsid w:val="002C7DBA"/>
    <w:rsid w:val="002D238A"/>
    <w:rsid w:val="002D2527"/>
    <w:rsid w:val="002D406F"/>
    <w:rsid w:val="002D53D4"/>
    <w:rsid w:val="002D5639"/>
    <w:rsid w:val="002D78A9"/>
    <w:rsid w:val="002E0029"/>
    <w:rsid w:val="002E11BB"/>
    <w:rsid w:val="002E1F2B"/>
    <w:rsid w:val="002E27A4"/>
    <w:rsid w:val="002E3327"/>
    <w:rsid w:val="002E5441"/>
    <w:rsid w:val="002E6527"/>
    <w:rsid w:val="002F1654"/>
    <w:rsid w:val="002F2FCA"/>
    <w:rsid w:val="002F3995"/>
    <w:rsid w:val="002F4982"/>
    <w:rsid w:val="002F5C54"/>
    <w:rsid w:val="002F6320"/>
    <w:rsid w:val="00300053"/>
    <w:rsid w:val="00300493"/>
    <w:rsid w:val="003006E5"/>
    <w:rsid w:val="003039C9"/>
    <w:rsid w:val="0030446F"/>
    <w:rsid w:val="003054A9"/>
    <w:rsid w:val="00305A29"/>
    <w:rsid w:val="003062E4"/>
    <w:rsid w:val="00310245"/>
    <w:rsid w:val="00312BF3"/>
    <w:rsid w:val="00313639"/>
    <w:rsid w:val="00315D20"/>
    <w:rsid w:val="00320837"/>
    <w:rsid w:val="00325559"/>
    <w:rsid w:val="00330D06"/>
    <w:rsid w:val="003310AA"/>
    <w:rsid w:val="003319EB"/>
    <w:rsid w:val="00334C1F"/>
    <w:rsid w:val="00335622"/>
    <w:rsid w:val="00345459"/>
    <w:rsid w:val="00345684"/>
    <w:rsid w:val="00345ED6"/>
    <w:rsid w:val="003543FE"/>
    <w:rsid w:val="0036172F"/>
    <w:rsid w:val="0036181B"/>
    <w:rsid w:val="00362189"/>
    <w:rsid w:val="003630DD"/>
    <w:rsid w:val="00363FEE"/>
    <w:rsid w:val="003706B0"/>
    <w:rsid w:val="0037245E"/>
    <w:rsid w:val="003768EF"/>
    <w:rsid w:val="00376FD7"/>
    <w:rsid w:val="00376FE4"/>
    <w:rsid w:val="00377348"/>
    <w:rsid w:val="00380E0C"/>
    <w:rsid w:val="00381DFA"/>
    <w:rsid w:val="003844CB"/>
    <w:rsid w:val="00384889"/>
    <w:rsid w:val="0038502B"/>
    <w:rsid w:val="00385983"/>
    <w:rsid w:val="00385E9A"/>
    <w:rsid w:val="00386A09"/>
    <w:rsid w:val="00390810"/>
    <w:rsid w:val="003959D7"/>
    <w:rsid w:val="003A140D"/>
    <w:rsid w:val="003A16E5"/>
    <w:rsid w:val="003A1A5C"/>
    <w:rsid w:val="003A36CE"/>
    <w:rsid w:val="003A59EE"/>
    <w:rsid w:val="003A629C"/>
    <w:rsid w:val="003A75C9"/>
    <w:rsid w:val="003B07FA"/>
    <w:rsid w:val="003B0836"/>
    <w:rsid w:val="003B118B"/>
    <w:rsid w:val="003B26F0"/>
    <w:rsid w:val="003B2B3B"/>
    <w:rsid w:val="003B2F7E"/>
    <w:rsid w:val="003B7FCC"/>
    <w:rsid w:val="003C19C4"/>
    <w:rsid w:val="003C215E"/>
    <w:rsid w:val="003C21E6"/>
    <w:rsid w:val="003C4FB1"/>
    <w:rsid w:val="003C60E4"/>
    <w:rsid w:val="003C6D93"/>
    <w:rsid w:val="003D054C"/>
    <w:rsid w:val="003D1C4F"/>
    <w:rsid w:val="003D1FAB"/>
    <w:rsid w:val="003D37C1"/>
    <w:rsid w:val="003D3A91"/>
    <w:rsid w:val="003D3EEB"/>
    <w:rsid w:val="003D5064"/>
    <w:rsid w:val="003D5919"/>
    <w:rsid w:val="003D7068"/>
    <w:rsid w:val="003E01C9"/>
    <w:rsid w:val="003E1BCF"/>
    <w:rsid w:val="003E2F82"/>
    <w:rsid w:val="003E2FA1"/>
    <w:rsid w:val="003E4713"/>
    <w:rsid w:val="003E49C0"/>
    <w:rsid w:val="003E49F8"/>
    <w:rsid w:val="003E5612"/>
    <w:rsid w:val="003E5F34"/>
    <w:rsid w:val="003F10C5"/>
    <w:rsid w:val="003F162F"/>
    <w:rsid w:val="003F232E"/>
    <w:rsid w:val="003F448C"/>
    <w:rsid w:val="003F633C"/>
    <w:rsid w:val="003F6D55"/>
    <w:rsid w:val="00400689"/>
    <w:rsid w:val="00401453"/>
    <w:rsid w:val="00402889"/>
    <w:rsid w:val="00402B66"/>
    <w:rsid w:val="004050F4"/>
    <w:rsid w:val="00407A38"/>
    <w:rsid w:val="00410BD4"/>
    <w:rsid w:val="00410EC3"/>
    <w:rsid w:val="004110CC"/>
    <w:rsid w:val="00413C95"/>
    <w:rsid w:val="00413D18"/>
    <w:rsid w:val="004145CB"/>
    <w:rsid w:val="004154E2"/>
    <w:rsid w:val="00416059"/>
    <w:rsid w:val="0042011F"/>
    <w:rsid w:val="00421063"/>
    <w:rsid w:val="00422E58"/>
    <w:rsid w:val="004246D5"/>
    <w:rsid w:val="00426C34"/>
    <w:rsid w:val="00427BEC"/>
    <w:rsid w:val="00430793"/>
    <w:rsid w:val="00431E2B"/>
    <w:rsid w:val="00431FED"/>
    <w:rsid w:val="004322B0"/>
    <w:rsid w:val="004334FC"/>
    <w:rsid w:val="00434D1C"/>
    <w:rsid w:val="00437322"/>
    <w:rsid w:val="004405B6"/>
    <w:rsid w:val="00442356"/>
    <w:rsid w:val="00444607"/>
    <w:rsid w:val="004451D9"/>
    <w:rsid w:val="00447071"/>
    <w:rsid w:val="00447B7D"/>
    <w:rsid w:val="004500E7"/>
    <w:rsid w:val="00450EB1"/>
    <w:rsid w:val="00452930"/>
    <w:rsid w:val="00453949"/>
    <w:rsid w:val="00453F58"/>
    <w:rsid w:val="00455EEA"/>
    <w:rsid w:val="004571BD"/>
    <w:rsid w:val="00460CD6"/>
    <w:rsid w:val="00461792"/>
    <w:rsid w:val="0046201E"/>
    <w:rsid w:val="0046372B"/>
    <w:rsid w:val="00464125"/>
    <w:rsid w:val="00465987"/>
    <w:rsid w:val="00467CF1"/>
    <w:rsid w:val="00471C8F"/>
    <w:rsid w:val="00472054"/>
    <w:rsid w:val="00474024"/>
    <w:rsid w:val="00474B1F"/>
    <w:rsid w:val="00475192"/>
    <w:rsid w:val="0048032F"/>
    <w:rsid w:val="0048062A"/>
    <w:rsid w:val="0048077B"/>
    <w:rsid w:val="00482254"/>
    <w:rsid w:val="00482937"/>
    <w:rsid w:val="004839B4"/>
    <w:rsid w:val="00483E8B"/>
    <w:rsid w:val="004847EA"/>
    <w:rsid w:val="004852E3"/>
    <w:rsid w:val="004873C0"/>
    <w:rsid w:val="00487436"/>
    <w:rsid w:val="004875F2"/>
    <w:rsid w:val="004919D1"/>
    <w:rsid w:val="004919EF"/>
    <w:rsid w:val="00496BE1"/>
    <w:rsid w:val="004A1EDD"/>
    <w:rsid w:val="004A4270"/>
    <w:rsid w:val="004A6039"/>
    <w:rsid w:val="004A6B76"/>
    <w:rsid w:val="004A7933"/>
    <w:rsid w:val="004B106F"/>
    <w:rsid w:val="004B15B2"/>
    <w:rsid w:val="004B294B"/>
    <w:rsid w:val="004B69C2"/>
    <w:rsid w:val="004B76D7"/>
    <w:rsid w:val="004B782C"/>
    <w:rsid w:val="004C0596"/>
    <w:rsid w:val="004C15CD"/>
    <w:rsid w:val="004C41DE"/>
    <w:rsid w:val="004C64C2"/>
    <w:rsid w:val="004C7EB7"/>
    <w:rsid w:val="004D0820"/>
    <w:rsid w:val="004D0F50"/>
    <w:rsid w:val="004D3028"/>
    <w:rsid w:val="004D3CCE"/>
    <w:rsid w:val="004D55E8"/>
    <w:rsid w:val="004E057D"/>
    <w:rsid w:val="004E1B42"/>
    <w:rsid w:val="004E1F36"/>
    <w:rsid w:val="004E1F90"/>
    <w:rsid w:val="004E2A6C"/>
    <w:rsid w:val="004E4098"/>
    <w:rsid w:val="004E4F1A"/>
    <w:rsid w:val="004E5160"/>
    <w:rsid w:val="004E5579"/>
    <w:rsid w:val="004F2FE5"/>
    <w:rsid w:val="004F353A"/>
    <w:rsid w:val="004F5535"/>
    <w:rsid w:val="004F71D8"/>
    <w:rsid w:val="004F7795"/>
    <w:rsid w:val="00501143"/>
    <w:rsid w:val="00503AAF"/>
    <w:rsid w:val="00504538"/>
    <w:rsid w:val="005052EA"/>
    <w:rsid w:val="00505A1F"/>
    <w:rsid w:val="005061D2"/>
    <w:rsid w:val="005070C1"/>
    <w:rsid w:val="0051057C"/>
    <w:rsid w:val="005107DB"/>
    <w:rsid w:val="00512B57"/>
    <w:rsid w:val="005133EB"/>
    <w:rsid w:val="00513609"/>
    <w:rsid w:val="00515CEA"/>
    <w:rsid w:val="00517BAD"/>
    <w:rsid w:val="00522618"/>
    <w:rsid w:val="005240E5"/>
    <w:rsid w:val="00524C81"/>
    <w:rsid w:val="0052673F"/>
    <w:rsid w:val="005307E9"/>
    <w:rsid w:val="00531172"/>
    <w:rsid w:val="0053476D"/>
    <w:rsid w:val="00535F1C"/>
    <w:rsid w:val="0053742D"/>
    <w:rsid w:val="0054038E"/>
    <w:rsid w:val="005460CB"/>
    <w:rsid w:val="005465D2"/>
    <w:rsid w:val="005468B9"/>
    <w:rsid w:val="005540FB"/>
    <w:rsid w:val="005561A1"/>
    <w:rsid w:val="00556391"/>
    <w:rsid w:val="00556727"/>
    <w:rsid w:val="005567FC"/>
    <w:rsid w:val="005572D8"/>
    <w:rsid w:val="00560831"/>
    <w:rsid w:val="00560A52"/>
    <w:rsid w:val="0056194C"/>
    <w:rsid w:val="00563D4F"/>
    <w:rsid w:val="00564983"/>
    <w:rsid w:val="00564AC2"/>
    <w:rsid w:val="005665D4"/>
    <w:rsid w:val="005676CA"/>
    <w:rsid w:val="00570C5E"/>
    <w:rsid w:val="00572AB3"/>
    <w:rsid w:val="005738A7"/>
    <w:rsid w:val="00574A63"/>
    <w:rsid w:val="005756CC"/>
    <w:rsid w:val="00576F5E"/>
    <w:rsid w:val="00581FA6"/>
    <w:rsid w:val="00583615"/>
    <w:rsid w:val="00584521"/>
    <w:rsid w:val="00584FBE"/>
    <w:rsid w:val="00586BB0"/>
    <w:rsid w:val="00590390"/>
    <w:rsid w:val="00590D1D"/>
    <w:rsid w:val="00591394"/>
    <w:rsid w:val="00593923"/>
    <w:rsid w:val="00594B58"/>
    <w:rsid w:val="00596478"/>
    <w:rsid w:val="00596F3D"/>
    <w:rsid w:val="005A22EB"/>
    <w:rsid w:val="005A28BB"/>
    <w:rsid w:val="005A2FDC"/>
    <w:rsid w:val="005A300B"/>
    <w:rsid w:val="005A4442"/>
    <w:rsid w:val="005A4E48"/>
    <w:rsid w:val="005B003E"/>
    <w:rsid w:val="005B13F4"/>
    <w:rsid w:val="005B2E38"/>
    <w:rsid w:val="005B4552"/>
    <w:rsid w:val="005B5D03"/>
    <w:rsid w:val="005C0459"/>
    <w:rsid w:val="005C159D"/>
    <w:rsid w:val="005C270E"/>
    <w:rsid w:val="005C41CE"/>
    <w:rsid w:val="005C550D"/>
    <w:rsid w:val="005C6279"/>
    <w:rsid w:val="005C6D85"/>
    <w:rsid w:val="005C7097"/>
    <w:rsid w:val="005C7881"/>
    <w:rsid w:val="005D014A"/>
    <w:rsid w:val="005D3990"/>
    <w:rsid w:val="005D5C2E"/>
    <w:rsid w:val="005E035C"/>
    <w:rsid w:val="005E33BB"/>
    <w:rsid w:val="005E6BCD"/>
    <w:rsid w:val="005E7B15"/>
    <w:rsid w:val="005F1AB7"/>
    <w:rsid w:val="005F20A8"/>
    <w:rsid w:val="005F36BF"/>
    <w:rsid w:val="005F522D"/>
    <w:rsid w:val="00600433"/>
    <w:rsid w:val="00601423"/>
    <w:rsid w:val="006017D3"/>
    <w:rsid w:val="00604521"/>
    <w:rsid w:val="006057D2"/>
    <w:rsid w:val="0060671B"/>
    <w:rsid w:val="00606C2E"/>
    <w:rsid w:val="00610336"/>
    <w:rsid w:val="006121A8"/>
    <w:rsid w:val="006146AB"/>
    <w:rsid w:val="0061567E"/>
    <w:rsid w:val="00617160"/>
    <w:rsid w:val="00617722"/>
    <w:rsid w:val="00620118"/>
    <w:rsid w:val="0062062D"/>
    <w:rsid w:val="006209C4"/>
    <w:rsid w:val="0062269D"/>
    <w:rsid w:val="006229F5"/>
    <w:rsid w:val="006248DC"/>
    <w:rsid w:val="00625666"/>
    <w:rsid w:val="006265B5"/>
    <w:rsid w:val="00633B95"/>
    <w:rsid w:val="006346C3"/>
    <w:rsid w:val="006362A7"/>
    <w:rsid w:val="00636DD7"/>
    <w:rsid w:val="006414DD"/>
    <w:rsid w:val="00641621"/>
    <w:rsid w:val="0064175C"/>
    <w:rsid w:val="0064556B"/>
    <w:rsid w:val="00645C3D"/>
    <w:rsid w:val="00651E45"/>
    <w:rsid w:val="006549B0"/>
    <w:rsid w:val="00655868"/>
    <w:rsid w:val="00655FEB"/>
    <w:rsid w:val="00656355"/>
    <w:rsid w:val="0065655A"/>
    <w:rsid w:val="00657A23"/>
    <w:rsid w:val="00660D24"/>
    <w:rsid w:val="00662AF6"/>
    <w:rsid w:val="00663C42"/>
    <w:rsid w:val="00664565"/>
    <w:rsid w:val="0066470A"/>
    <w:rsid w:val="00665695"/>
    <w:rsid w:val="0066570E"/>
    <w:rsid w:val="0066648A"/>
    <w:rsid w:val="0067080A"/>
    <w:rsid w:val="00672208"/>
    <w:rsid w:val="00672779"/>
    <w:rsid w:val="0067283C"/>
    <w:rsid w:val="006746D3"/>
    <w:rsid w:val="00676B8B"/>
    <w:rsid w:val="006771F9"/>
    <w:rsid w:val="00677B5D"/>
    <w:rsid w:val="006803F0"/>
    <w:rsid w:val="00680AF1"/>
    <w:rsid w:val="00681B67"/>
    <w:rsid w:val="00683447"/>
    <w:rsid w:val="00685453"/>
    <w:rsid w:val="00686846"/>
    <w:rsid w:val="00693CA1"/>
    <w:rsid w:val="00694D7E"/>
    <w:rsid w:val="006964AC"/>
    <w:rsid w:val="006A02DE"/>
    <w:rsid w:val="006A03E6"/>
    <w:rsid w:val="006A1730"/>
    <w:rsid w:val="006A19F9"/>
    <w:rsid w:val="006A27BE"/>
    <w:rsid w:val="006A3A69"/>
    <w:rsid w:val="006A479C"/>
    <w:rsid w:val="006A6EAB"/>
    <w:rsid w:val="006A7646"/>
    <w:rsid w:val="006B32AE"/>
    <w:rsid w:val="006B5145"/>
    <w:rsid w:val="006B5D9F"/>
    <w:rsid w:val="006B75FC"/>
    <w:rsid w:val="006B7D54"/>
    <w:rsid w:val="006C3549"/>
    <w:rsid w:val="006C5A14"/>
    <w:rsid w:val="006C726E"/>
    <w:rsid w:val="006C72E6"/>
    <w:rsid w:val="006C7806"/>
    <w:rsid w:val="006C7CAE"/>
    <w:rsid w:val="006D274F"/>
    <w:rsid w:val="006D35EC"/>
    <w:rsid w:val="006E3B8A"/>
    <w:rsid w:val="006E3BA0"/>
    <w:rsid w:val="006E696F"/>
    <w:rsid w:val="006F0245"/>
    <w:rsid w:val="006F0536"/>
    <w:rsid w:val="006F1C13"/>
    <w:rsid w:val="006F2C68"/>
    <w:rsid w:val="006F347C"/>
    <w:rsid w:val="00701317"/>
    <w:rsid w:val="00701E08"/>
    <w:rsid w:val="00702825"/>
    <w:rsid w:val="00705A1B"/>
    <w:rsid w:val="00712CB7"/>
    <w:rsid w:val="007144A5"/>
    <w:rsid w:val="0071622A"/>
    <w:rsid w:val="007202FF"/>
    <w:rsid w:val="00721479"/>
    <w:rsid w:val="00721EE2"/>
    <w:rsid w:val="00722DD2"/>
    <w:rsid w:val="00723D19"/>
    <w:rsid w:val="00725251"/>
    <w:rsid w:val="00726627"/>
    <w:rsid w:val="00727D19"/>
    <w:rsid w:val="00727E2E"/>
    <w:rsid w:val="00730435"/>
    <w:rsid w:val="007309A1"/>
    <w:rsid w:val="00730B07"/>
    <w:rsid w:val="00731C94"/>
    <w:rsid w:val="00735A40"/>
    <w:rsid w:val="0073724F"/>
    <w:rsid w:val="00740360"/>
    <w:rsid w:val="00741CC7"/>
    <w:rsid w:val="0074631B"/>
    <w:rsid w:val="007468A3"/>
    <w:rsid w:val="00747875"/>
    <w:rsid w:val="0075081E"/>
    <w:rsid w:val="00754C33"/>
    <w:rsid w:val="007562AA"/>
    <w:rsid w:val="007570BF"/>
    <w:rsid w:val="00760C09"/>
    <w:rsid w:val="00760E5D"/>
    <w:rsid w:val="00761214"/>
    <w:rsid w:val="0076423D"/>
    <w:rsid w:val="0076502B"/>
    <w:rsid w:val="00766310"/>
    <w:rsid w:val="00771468"/>
    <w:rsid w:val="007714A2"/>
    <w:rsid w:val="0077431D"/>
    <w:rsid w:val="00775066"/>
    <w:rsid w:val="00777890"/>
    <w:rsid w:val="007818BC"/>
    <w:rsid w:val="00793735"/>
    <w:rsid w:val="0079388A"/>
    <w:rsid w:val="00794096"/>
    <w:rsid w:val="00794615"/>
    <w:rsid w:val="007A03A2"/>
    <w:rsid w:val="007A0F86"/>
    <w:rsid w:val="007A102E"/>
    <w:rsid w:val="007A27D5"/>
    <w:rsid w:val="007A2B58"/>
    <w:rsid w:val="007A2DEF"/>
    <w:rsid w:val="007A36D9"/>
    <w:rsid w:val="007A4DB3"/>
    <w:rsid w:val="007A5B3F"/>
    <w:rsid w:val="007A5B94"/>
    <w:rsid w:val="007B5949"/>
    <w:rsid w:val="007B5DEE"/>
    <w:rsid w:val="007C22C8"/>
    <w:rsid w:val="007C270A"/>
    <w:rsid w:val="007C3052"/>
    <w:rsid w:val="007C43DE"/>
    <w:rsid w:val="007C4F8A"/>
    <w:rsid w:val="007D1B7B"/>
    <w:rsid w:val="007D295C"/>
    <w:rsid w:val="007D2C97"/>
    <w:rsid w:val="007D5C88"/>
    <w:rsid w:val="007D778A"/>
    <w:rsid w:val="007E059E"/>
    <w:rsid w:val="007E390B"/>
    <w:rsid w:val="007E3914"/>
    <w:rsid w:val="007E3DD0"/>
    <w:rsid w:val="007E50B9"/>
    <w:rsid w:val="007E5A34"/>
    <w:rsid w:val="007F0C99"/>
    <w:rsid w:val="007F0D35"/>
    <w:rsid w:val="007F1709"/>
    <w:rsid w:val="007F1D94"/>
    <w:rsid w:val="007F26C3"/>
    <w:rsid w:val="007F2B60"/>
    <w:rsid w:val="007F3105"/>
    <w:rsid w:val="007F3832"/>
    <w:rsid w:val="007F4EBC"/>
    <w:rsid w:val="007F5D1C"/>
    <w:rsid w:val="007F6594"/>
    <w:rsid w:val="007F759B"/>
    <w:rsid w:val="00800B1B"/>
    <w:rsid w:val="008065F0"/>
    <w:rsid w:val="00807F6B"/>
    <w:rsid w:val="00812115"/>
    <w:rsid w:val="00812993"/>
    <w:rsid w:val="008129CF"/>
    <w:rsid w:val="00813501"/>
    <w:rsid w:val="00813ADD"/>
    <w:rsid w:val="00814A73"/>
    <w:rsid w:val="00816A66"/>
    <w:rsid w:val="00816C62"/>
    <w:rsid w:val="0082147E"/>
    <w:rsid w:val="00821AA6"/>
    <w:rsid w:val="008254DD"/>
    <w:rsid w:val="00834838"/>
    <w:rsid w:val="00834C88"/>
    <w:rsid w:val="00840DB9"/>
    <w:rsid w:val="0084151D"/>
    <w:rsid w:val="00842CA0"/>
    <w:rsid w:val="008447DC"/>
    <w:rsid w:val="00845FB5"/>
    <w:rsid w:val="008470A6"/>
    <w:rsid w:val="00850D68"/>
    <w:rsid w:val="008557EF"/>
    <w:rsid w:val="00855814"/>
    <w:rsid w:val="00856ED4"/>
    <w:rsid w:val="0086012B"/>
    <w:rsid w:val="00860DA7"/>
    <w:rsid w:val="00862D26"/>
    <w:rsid w:val="00864668"/>
    <w:rsid w:val="00865CEB"/>
    <w:rsid w:val="00866A51"/>
    <w:rsid w:val="00866E60"/>
    <w:rsid w:val="00867D6D"/>
    <w:rsid w:val="008707B9"/>
    <w:rsid w:val="00872A79"/>
    <w:rsid w:val="008745A9"/>
    <w:rsid w:val="00877B2A"/>
    <w:rsid w:val="00880BF4"/>
    <w:rsid w:val="0088670E"/>
    <w:rsid w:val="00886A48"/>
    <w:rsid w:val="008872E6"/>
    <w:rsid w:val="0088746E"/>
    <w:rsid w:val="008939DD"/>
    <w:rsid w:val="0089515D"/>
    <w:rsid w:val="00897D65"/>
    <w:rsid w:val="008A008E"/>
    <w:rsid w:val="008A44B3"/>
    <w:rsid w:val="008A5984"/>
    <w:rsid w:val="008A73C0"/>
    <w:rsid w:val="008B1F2C"/>
    <w:rsid w:val="008B21A7"/>
    <w:rsid w:val="008B472F"/>
    <w:rsid w:val="008B5D93"/>
    <w:rsid w:val="008B6BC6"/>
    <w:rsid w:val="008C1839"/>
    <w:rsid w:val="008C3136"/>
    <w:rsid w:val="008C3337"/>
    <w:rsid w:val="008C35C3"/>
    <w:rsid w:val="008C4E4D"/>
    <w:rsid w:val="008C6D5D"/>
    <w:rsid w:val="008C7C65"/>
    <w:rsid w:val="008D0063"/>
    <w:rsid w:val="008D1211"/>
    <w:rsid w:val="008D2DF0"/>
    <w:rsid w:val="008D358A"/>
    <w:rsid w:val="008D3700"/>
    <w:rsid w:val="008E0C96"/>
    <w:rsid w:val="008E0CAE"/>
    <w:rsid w:val="008E2D27"/>
    <w:rsid w:val="008E2E5E"/>
    <w:rsid w:val="008E6B7A"/>
    <w:rsid w:val="008E6BB1"/>
    <w:rsid w:val="008E72B7"/>
    <w:rsid w:val="008E7F42"/>
    <w:rsid w:val="008F14DD"/>
    <w:rsid w:val="008F3320"/>
    <w:rsid w:val="008F3C48"/>
    <w:rsid w:val="008F6028"/>
    <w:rsid w:val="008F7FB8"/>
    <w:rsid w:val="00900C17"/>
    <w:rsid w:val="00904331"/>
    <w:rsid w:val="00905BE5"/>
    <w:rsid w:val="00906223"/>
    <w:rsid w:val="00910B0D"/>
    <w:rsid w:val="00910CA7"/>
    <w:rsid w:val="0091151C"/>
    <w:rsid w:val="00911729"/>
    <w:rsid w:val="0091428F"/>
    <w:rsid w:val="009155FD"/>
    <w:rsid w:val="009159B1"/>
    <w:rsid w:val="0092284A"/>
    <w:rsid w:val="00922B92"/>
    <w:rsid w:val="00922FF0"/>
    <w:rsid w:val="00923806"/>
    <w:rsid w:val="0092619C"/>
    <w:rsid w:val="009308CE"/>
    <w:rsid w:val="0093145E"/>
    <w:rsid w:val="00931D23"/>
    <w:rsid w:val="00934051"/>
    <w:rsid w:val="009342E5"/>
    <w:rsid w:val="00934FCB"/>
    <w:rsid w:val="009372FA"/>
    <w:rsid w:val="00941288"/>
    <w:rsid w:val="009414B2"/>
    <w:rsid w:val="009418E8"/>
    <w:rsid w:val="0094267F"/>
    <w:rsid w:val="009432DD"/>
    <w:rsid w:val="009444A0"/>
    <w:rsid w:val="00944ABB"/>
    <w:rsid w:val="00945868"/>
    <w:rsid w:val="00945D67"/>
    <w:rsid w:val="0094604C"/>
    <w:rsid w:val="00946166"/>
    <w:rsid w:val="00946F00"/>
    <w:rsid w:val="009515EA"/>
    <w:rsid w:val="00952C32"/>
    <w:rsid w:val="009574A1"/>
    <w:rsid w:val="0096079B"/>
    <w:rsid w:val="00960ED9"/>
    <w:rsid w:val="00961DAC"/>
    <w:rsid w:val="00962F6A"/>
    <w:rsid w:val="00963B6E"/>
    <w:rsid w:val="00964A46"/>
    <w:rsid w:val="009653AB"/>
    <w:rsid w:val="0096577C"/>
    <w:rsid w:val="00965E01"/>
    <w:rsid w:val="0096640C"/>
    <w:rsid w:val="0096734F"/>
    <w:rsid w:val="009707B3"/>
    <w:rsid w:val="00970BB8"/>
    <w:rsid w:val="00971EA0"/>
    <w:rsid w:val="00972614"/>
    <w:rsid w:val="00973297"/>
    <w:rsid w:val="0097650F"/>
    <w:rsid w:val="00977434"/>
    <w:rsid w:val="00981AB3"/>
    <w:rsid w:val="0098531D"/>
    <w:rsid w:val="00986884"/>
    <w:rsid w:val="009871B0"/>
    <w:rsid w:val="0099320C"/>
    <w:rsid w:val="009958D9"/>
    <w:rsid w:val="009A0406"/>
    <w:rsid w:val="009A22CD"/>
    <w:rsid w:val="009A286C"/>
    <w:rsid w:val="009A439B"/>
    <w:rsid w:val="009A587A"/>
    <w:rsid w:val="009A67A2"/>
    <w:rsid w:val="009A76D6"/>
    <w:rsid w:val="009A7DBB"/>
    <w:rsid w:val="009B0171"/>
    <w:rsid w:val="009B11E7"/>
    <w:rsid w:val="009B294F"/>
    <w:rsid w:val="009B6065"/>
    <w:rsid w:val="009B71BF"/>
    <w:rsid w:val="009C1C20"/>
    <w:rsid w:val="009C2525"/>
    <w:rsid w:val="009C3064"/>
    <w:rsid w:val="009C4CDC"/>
    <w:rsid w:val="009D0098"/>
    <w:rsid w:val="009D1A41"/>
    <w:rsid w:val="009D4250"/>
    <w:rsid w:val="009D470A"/>
    <w:rsid w:val="009D78C9"/>
    <w:rsid w:val="009E29BD"/>
    <w:rsid w:val="009E632D"/>
    <w:rsid w:val="009F0642"/>
    <w:rsid w:val="009F11BF"/>
    <w:rsid w:val="009F142F"/>
    <w:rsid w:val="009F31DB"/>
    <w:rsid w:val="009F4AA3"/>
    <w:rsid w:val="009F52D5"/>
    <w:rsid w:val="009F6473"/>
    <w:rsid w:val="009F66DA"/>
    <w:rsid w:val="009F6F63"/>
    <w:rsid w:val="00A00105"/>
    <w:rsid w:val="00A009D4"/>
    <w:rsid w:val="00A011F1"/>
    <w:rsid w:val="00A02122"/>
    <w:rsid w:val="00A02208"/>
    <w:rsid w:val="00A04FF3"/>
    <w:rsid w:val="00A057B8"/>
    <w:rsid w:val="00A06026"/>
    <w:rsid w:val="00A06860"/>
    <w:rsid w:val="00A06DA4"/>
    <w:rsid w:val="00A1163F"/>
    <w:rsid w:val="00A1256C"/>
    <w:rsid w:val="00A12B24"/>
    <w:rsid w:val="00A15147"/>
    <w:rsid w:val="00A159CC"/>
    <w:rsid w:val="00A23C54"/>
    <w:rsid w:val="00A250C7"/>
    <w:rsid w:val="00A25D40"/>
    <w:rsid w:val="00A32F67"/>
    <w:rsid w:val="00A33646"/>
    <w:rsid w:val="00A33FA1"/>
    <w:rsid w:val="00A34CA5"/>
    <w:rsid w:val="00A34EDD"/>
    <w:rsid w:val="00A3612E"/>
    <w:rsid w:val="00A37C1C"/>
    <w:rsid w:val="00A413C8"/>
    <w:rsid w:val="00A416B1"/>
    <w:rsid w:val="00A468B2"/>
    <w:rsid w:val="00A471E8"/>
    <w:rsid w:val="00A50016"/>
    <w:rsid w:val="00A50BA7"/>
    <w:rsid w:val="00A53CC7"/>
    <w:rsid w:val="00A6135D"/>
    <w:rsid w:val="00A616AB"/>
    <w:rsid w:val="00A61A35"/>
    <w:rsid w:val="00A61DE6"/>
    <w:rsid w:val="00A6373B"/>
    <w:rsid w:val="00A64A11"/>
    <w:rsid w:val="00A6513C"/>
    <w:rsid w:val="00A6550F"/>
    <w:rsid w:val="00A662A8"/>
    <w:rsid w:val="00A72630"/>
    <w:rsid w:val="00A76B34"/>
    <w:rsid w:val="00A76CAE"/>
    <w:rsid w:val="00A800FC"/>
    <w:rsid w:val="00A83A69"/>
    <w:rsid w:val="00A86270"/>
    <w:rsid w:val="00A903FD"/>
    <w:rsid w:val="00A919A2"/>
    <w:rsid w:val="00A94E62"/>
    <w:rsid w:val="00A95107"/>
    <w:rsid w:val="00A9557B"/>
    <w:rsid w:val="00A96359"/>
    <w:rsid w:val="00A970DB"/>
    <w:rsid w:val="00A97464"/>
    <w:rsid w:val="00AA00F6"/>
    <w:rsid w:val="00AA11DC"/>
    <w:rsid w:val="00AA3B87"/>
    <w:rsid w:val="00AA530C"/>
    <w:rsid w:val="00AA559B"/>
    <w:rsid w:val="00AB05A2"/>
    <w:rsid w:val="00AB142F"/>
    <w:rsid w:val="00AB162D"/>
    <w:rsid w:val="00AB22D8"/>
    <w:rsid w:val="00AB5DED"/>
    <w:rsid w:val="00AB5FD1"/>
    <w:rsid w:val="00AB6CA3"/>
    <w:rsid w:val="00AC26BE"/>
    <w:rsid w:val="00AC5175"/>
    <w:rsid w:val="00AC5FD3"/>
    <w:rsid w:val="00AC7D95"/>
    <w:rsid w:val="00AD0899"/>
    <w:rsid w:val="00AD17EC"/>
    <w:rsid w:val="00AD2512"/>
    <w:rsid w:val="00AD3B7F"/>
    <w:rsid w:val="00AD71C2"/>
    <w:rsid w:val="00AD7DBE"/>
    <w:rsid w:val="00AE28E1"/>
    <w:rsid w:val="00AE41EA"/>
    <w:rsid w:val="00AE582E"/>
    <w:rsid w:val="00AE6AB5"/>
    <w:rsid w:val="00AE7C5D"/>
    <w:rsid w:val="00AF0049"/>
    <w:rsid w:val="00AF3813"/>
    <w:rsid w:val="00AF3A92"/>
    <w:rsid w:val="00AF44A6"/>
    <w:rsid w:val="00AF6F84"/>
    <w:rsid w:val="00B0023E"/>
    <w:rsid w:val="00B00AB5"/>
    <w:rsid w:val="00B00F2B"/>
    <w:rsid w:val="00B03A77"/>
    <w:rsid w:val="00B10243"/>
    <w:rsid w:val="00B14830"/>
    <w:rsid w:val="00B163E3"/>
    <w:rsid w:val="00B16704"/>
    <w:rsid w:val="00B16EEC"/>
    <w:rsid w:val="00B17363"/>
    <w:rsid w:val="00B20DCF"/>
    <w:rsid w:val="00B221C6"/>
    <w:rsid w:val="00B23A73"/>
    <w:rsid w:val="00B23B95"/>
    <w:rsid w:val="00B308BA"/>
    <w:rsid w:val="00B31AA8"/>
    <w:rsid w:val="00B33B3C"/>
    <w:rsid w:val="00B349C1"/>
    <w:rsid w:val="00B34A0F"/>
    <w:rsid w:val="00B34CB5"/>
    <w:rsid w:val="00B36FEA"/>
    <w:rsid w:val="00B37B7B"/>
    <w:rsid w:val="00B40AC2"/>
    <w:rsid w:val="00B4153F"/>
    <w:rsid w:val="00B41E15"/>
    <w:rsid w:val="00B4669F"/>
    <w:rsid w:val="00B46EEA"/>
    <w:rsid w:val="00B523F7"/>
    <w:rsid w:val="00B53F24"/>
    <w:rsid w:val="00B54AC1"/>
    <w:rsid w:val="00B56502"/>
    <w:rsid w:val="00B569A7"/>
    <w:rsid w:val="00B6032A"/>
    <w:rsid w:val="00B612FE"/>
    <w:rsid w:val="00B62940"/>
    <w:rsid w:val="00B62A58"/>
    <w:rsid w:val="00B6476C"/>
    <w:rsid w:val="00B6759A"/>
    <w:rsid w:val="00B71D3F"/>
    <w:rsid w:val="00B7556C"/>
    <w:rsid w:val="00B8351B"/>
    <w:rsid w:val="00B84AC0"/>
    <w:rsid w:val="00B86924"/>
    <w:rsid w:val="00B873D3"/>
    <w:rsid w:val="00B90131"/>
    <w:rsid w:val="00B94112"/>
    <w:rsid w:val="00B971E3"/>
    <w:rsid w:val="00B973CC"/>
    <w:rsid w:val="00BA2519"/>
    <w:rsid w:val="00BA3EC5"/>
    <w:rsid w:val="00BA4AB5"/>
    <w:rsid w:val="00BA765D"/>
    <w:rsid w:val="00BB0680"/>
    <w:rsid w:val="00BB10F7"/>
    <w:rsid w:val="00BB1554"/>
    <w:rsid w:val="00BB34C1"/>
    <w:rsid w:val="00BB7DD4"/>
    <w:rsid w:val="00BC0869"/>
    <w:rsid w:val="00BC224D"/>
    <w:rsid w:val="00BC27B6"/>
    <w:rsid w:val="00BC4D76"/>
    <w:rsid w:val="00BC697A"/>
    <w:rsid w:val="00BC6ADA"/>
    <w:rsid w:val="00BD00D2"/>
    <w:rsid w:val="00BD076E"/>
    <w:rsid w:val="00BD3953"/>
    <w:rsid w:val="00BD41D0"/>
    <w:rsid w:val="00BD6A91"/>
    <w:rsid w:val="00BE13D1"/>
    <w:rsid w:val="00BE17D6"/>
    <w:rsid w:val="00BE32A3"/>
    <w:rsid w:val="00BE3861"/>
    <w:rsid w:val="00BE3D96"/>
    <w:rsid w:val="00BE3F9F"/>
    <w:rsid w:val="00BE42F9"/>
    <w:rsid w:val="00BE583A"/>
    <w:rsid w:val="00BF03A9"/>
    <w:rsid w:val="00BF1ECD"/>
    <w:rsid w:val="00BF511B"/>
    <w:rsid w:val="00C017E1"/>
    <w:rsid w:val="00C04038"/>
    <w:rsid w:val="00C051A9"/>
    <w:rsid w:val="00C06B43"/>
    <w:rsid w:val="00C07EBB"/>
    <w:rsid w:val="00C165E2"/>
    <w:rsid w:val="00C16FF7"/>
    <w:rsid w:val="00C172D6"/>
    <w:rsid w:val="00C17DA7"/>
    <w:rsid w:val="00C2172A"/>
    <w:rsid w:val="00C22016"/>
    <w:rsid w:val="00C227C7"/>
    <w:rsid w:val="00C23005"/>
    <w:rsid w:val="00C2544D"/>
    <w:rsid w:val="00C25590"/>
    <w:rsid w:val="00C3189E"/>
    <w:rsid w:val="00C32DCE"/>
    <w:rsid w:val="00C37327"/>
    <w:rsid w:val="00C41EA0"/>
    <w:rsid w:val="00C42EA2"/>
    <w:rsid w:val="00C51251"/>
    <w:rsid w:val="00C535ED"/>
    <w:rsid w:val="00C539B1"/>
    <w:rsid w:val="00C57B6B"/>
    <w:rsid w:val="00C6470D"/>
    <w:rsid w:val="00C71C9D"/>
    <w:rsid w:val="00C72EE6"/>
    <w:rsid w:val="00C769D3"/>
    <w:rsid w:val="00C81BE9"/>
    <w:rsid w:val="00C84A10"/>
    <w:rsid w:val="00C84B6D"/>
    <w:rsid w:val="00C86DEB"/>
    <w:rsid w:val="00C872CC"/>
    <w:rsid w:val="00C90B6E"/>
    <w:rsid w:val="00C914E0"/>
    <w:rsid w:val="00C92259"/>
    <w:rsid w:val="00C95256"/>
    <w:rsid w:val="00C95F68"/>
    <w:rsid w:val="00C978EB"/>
    <w:rsid w:val="00C97F49"/>
    <w:rsid w:val="00C97FEB"/>
    <w:rsid w:val="00CA26B2"/>
    <w:rsid w:val="00CA2D08"/>
    <w:rsid w:val="00CA337C"/>
    <w:rsid w:val="00CA663D"/>
    <w:rsid w:val="00CA68A8"/>
    <w:rsid w:val="00CB1CDB"/>
    <w:rsid w:val="00CB3ABD"/>
    <w:rsid w:val="00CB5A76"/>
    <w:rsid w:val="00CB5F9A"/>
    <w:rsid w:val="00CC15E9"/>
    <w:rsid w:val="00CC20DE"/>
    <w:rsid w:val="00CC73AC"/>
    <w:rsid w:val="00CC776A"/>
    <w:rsid w:val="00CD1739"/>
    <w:rsid w:val="00CD2AC7"/>
    <w:rsid w:val="00CD2DAF"/>
    <w:rsid w:val="00CD331A"/>
    <w:rsid w:val="00CD3805"/>
    <w:rsid w:val="00CD6289"/>
    <w:rsid w:val="00CE3146"/>
    <w:rsid w:val="00CE4150"/>
    <w:rsid w:val="00CE5F75"/>
    <w:rsid w:val="00CE6400"/>
    <w:rsid w:val="00CF4997"/>
    <w:rsid w:val="00CF5461"/>
    <w:rsid w:val="00D0087F"/>
    <w:rsid w:val="00D0191F"/>
    <w:rsid w:val="00D01A6A"/>
    <w:rsid w:val="00D05594"/>
    <w:rsid w:val="00D061DE"/>
    <w:rsid w:val="00D06F6A"/>
    <w:rsid w:val="00D10957"/>
    <w:rsid w:val="00D1120B"/>
    <w:rsid w:val="00D12281"/>
    <w:rsid w:val="00D203DC"/>
    <w:rsid w:val="00D2105A"/>
    <w:rsid w:val="00D21436"/>
    <w:rsid w:val="00D23894"/>
    <w:rsid w:val="00D23C82"/>
    <w:rsid w:val="00D24734"/>
    <w:rsid w:val="00D24976"/>
    <w:rsid w:val="00D257CA"/>
    <w:rsid w:val="00D267F2"/>
    <w:rsid w:val="00D276D2"/>
    <w:rsid w:val="00D35004"/>
    <w:rsid w:val="00D3524C"/>
    <w:rsid w:val="00D37F40"/>
    <w:rsid w:val="00D41798"/>
    <w:rsid w:val="00D42830"/>
    <w:rsid w:val="00D43E02"/>
    <w:rsid w:val="00D45CAE"/>
    <w:rsid w:val="00D536A9"/>
    <w:rsid w:val="00D53AAB"/>
    <w:rsid w:val="00D53EAC"/>
    <w:rsid w:val="00D54D3D"/>
    <w:rsid w:val="00D54EF8"/>
    <w:rsid w:val="00D56460"/>
    <w:rsid w:val="00D6070E"/>
    <w:rsid w:val="00D60BB4"/>
    <w:rsid w:val="00D63D21"/>
    <w:rsid w:val="00D63F77"/>
    <w:rsid w:val="00D66A33"/>
    <w:rsid w:val="00D70BFC"/>
    <w:rsid w:val="00D7369B"/>
    <w:rsid w:val="00D74FFE"/>
    <w:rsid w:val="00D77A36"/>
    <w:rsid w:val="00D81B15"/>
    <w:rsid w:val="00D8207C"/>
    <w:rsid w:val="00D84433"/>
    <w:rsid w:val="00D84D22"/>
    <w:rsid w:val="00D851CB"/>
    <w:rsid w:val="00D85A9A"/>
    <w:rsid w:val="00D863E0"/>
    <w:rsid w:val="00D8680A"/>
    <w:rsid w:val="00D8716A"/>
    <w:rsid w:val="00D94683"/>
    <w:rsid w:val="00D947DE"/>
    <w:rsid w:val="00D94D8B"/>
    <w:rsid w:val="00D958C4"/>
    <w:rsid w:val="00D95D2B"/>
    <w:rsid w:val="00D967F2"/>
    <w:rsid w:val="00D96C06"/>
    <w:rsid w:val="00D97F76"/>
    <w:rsid w:val="00DA04EE"/>
    <w:rsid w:val="00DA0943"/>
    <w:rsid w:val="00DA11E0"/>
    <w:rsid w:val="00DA2883"/>
    <w:rsid w:val="00DA310A"/>
    <w:rsid w:val="00DA39F9"/>
    <w:rsid w:val="00DA6522"/>
    <w:rsid w:val="00DB1857"/>
    <w:rsid w:val="00DB23DB"/>
    <w:rsid w:val="00DB3274"/>
    <w:rsid w:val="00DB39D2"/>
    <w:rsid w:val="00DB70F5"/>
    <w:rsid w:val="00DC1846"/>
    <w:rsid w:val="00DC1C51"/>
    <w:rsid w:val="00DC2548"/>
    <w:rsid w:val="00DC682E"/>
    <w:rsid w:val="00DD141C"/>
    <w:rsid w:val="00DD1952"/>
    <w:rsid w:val="00DD3631"/>
    <w:rsid w:val="00DD4AF4"/>
    <w:rsid w:val="00DD6F26"/>
    <w:rsid w:val="00DD7B00"/>
    <w:rsid w:val="00DE06EE"/>
    <w:rsid w:val="00DE2C5E"/>
    <w:rsid w:val="00DE3995"/>
    <w:rsid w:val="00DE5D26"/>
    <w:rsid w:val="00DE5E39"/>
    <w:rsid w:val="00DE6709"/>
    <w:rsid w:val="00DE752E"/>
    <w:rsid w:val="00DF0971"/>
    <w:rsid w:val="00DF1466"/>
    <w:rsid w:val="00DF26A2"/>
    <w:rsid w:val="00DF2945"/>
    <w:rsid w:val="00DF2D06"/>
    <w:rsid w:val="00DF2D2F"/>
    <w:rsid w:val="00DF434E"/>
    <w:rsid w:val="00DF437A"/>
    <w:rsid w:val="00DF4561"/>
    <w:rsid w:val="00DF537F"/>
    <w:rsid w:val="00DF67E5"/>
    <w:rsid w:val="00DF7FF7"/>
    <w:rsid w:val="00E03A03"/>
    <w:rsid w:val="00E07512"/>
    <w:rsid w:val="00E11FB4"/>
    <w:rsid w:val="00E145B4"/>
    <w:rsid w:val="00E2061F"/>
    <w:rsid w:val="00E2308F"/>
    <w:rsid w:val="00E23571"/>
    <w:rsid w:val="00E2485E"/>
    <w:rsid w:val="00E24F17"/>
    <w:rsid w:val="00E30BC9"/>
    <w:rsid w:val="00E32146"/>
    <w:rsid w:val="00E32F65"/>
    <w:rsid w:val="00E337FE"/>
    <w:rsid w:val="00E338DD"/>
    <w:rsid w:val="00E33E14"/>
    <w:rsid w:val="00E34799"/>
    <w:rsid w:val="00E3555B"/>
    <w:rsid w:val="00E400F5"/>
    <w:rsid w:val="00E410F1"/>
    <w:rsid w:val="00E41967"/>
    <w:rsid w:val="00E46BAD"/>
    <w:rsid w:val="00E47AF4"/>
    <w:rsid w:val="00E51DF5"/>
    <w:rsid w:val="00E5251F"/>
    <w:rsid w:val="00E52861"/>
    <w:rsid w:val="00E534E9"/>
    <w:rsid w:val="00E53896"/>
    <w:rsid w:val="00E54EFA"/>
    <w:rsid w:val="00E54F98"/>
    <w:rsid w:val="00E60021"/>
    <w:rsid w:val="00E61E3A"/>
    <w:rsid w:val="00E62E19"/>
    <w:rsid w:val="00E65858"/>
    <w:rsid w:val="00E6611D"/>
    <w:rsid w:val="00E66DF5"/>
    <w:rsid w:val="00E675DE"/>
    <w:rsid w:val="00E67D72"/>
    <w:rsid w:val="00E70389"/>
    <w:rsid w:val="00E709A8"/>
    <w:rsid w:val="00E718B7"/>
    <w:rsid w:val="00E75ADA"/>
    <w:rsid w:val="00E77154"/>
    <w:rsid w:val="00E81AB6"/>
    <w:rsid w:val="00E81E65"/>
    <w:rsid w:val="00E82A99"/>
    <w:rsid w:val="00E8359A"/>
    <w:rsid w:val="00E91A72"/>
    <w:rsid w:val="00E95989"/>
    <w:rsid w:val="00EA408C"/>
    <w:rsid w:val="00EA466C"/>
    <w:rsid w:val="00EA4C06"/>
    <w:rsid w:val="00EA6E02"/>
    <w:rsid w:val="00EB0A8F"/>
    <w:rsid w:val="00EB332E"/>
    <w:rsid w:val="00EB3E73"/>
    <w:rsid w:val="00EB6112"/>
    <w:rsid w:val="00EC071D"/>
    <w:rsid w:val="00EC0D88"/>
    <w:rsid w:val="00EC2C2F"/>
    <w:rsid w:val="00EC3D99"/>
    <w:rsid w:val="00EC465E"/>
    <w:rsid w:val="00EC5CA8"/>
    <w:rsid w:val="00EC6AC5"/>
    <w:rsid w:val="00ED2EE7"/>
    <w:rsid w:val="00ED3159"/>
    <w:rsid w:val="00ED3623"/>
    <w:rsid w:val="00ED387F"/>
    <w:rsid w:val="00ED714D"/>
    <w:rsid w:val="00EE2475"/>
    <w:rsid w:val="00EE26BB"/>
    <w:rsid w:val="00EE4867"/>
    <w:rsid w:val="00EE52CF"/>
    <w:rsid w:val="00EE5919"/>
    <w:rsid w:val="00EE59D9"/>
    <w:rsid w:val="00EE6418"/>
    <w:rsid w:val="00EF2193"/>
    <w:rsid w:val="00EF2778"/>
    <w:rsid w:val="00EF39EC"/>
    <w:rsid w:val="00EF3E22"/>
    <w:rsid w:val="00EF5C1E"/>
    <w:rsid w:val="00EF6E8A"/>
    <w:rsid w:val="00EF6EF0"/>
    <w:rsid w:val="00F00A27"/>
    <w:rsid w:val="00F00AD2"/>
    <w:rsid w:val="00F01D25"/>
    <w:rsid w:val="00F03239"/>
    <w:rsid w:val="00F06913"/>
    <w:rsid w:val="00F06B7C"/>
    <w:rsid w:val="00F12C91"/>
    <w:rsid w:val="00F16A13"/>
    <w:rsid w:val="00F23437"/>
    <w:rsid w:val="00F24AD1"/>
    <w:rsid w:val="00F24BC0"/>
    <w:rsid w:val="00F24FDE"/>
    <w:rsid w:val="00F265BE"/>
    <w:rsid w:val="00F265E9"/>
    <w:rsid w:val="00F271D8"/>
    <w:rsid w:val="00F32D28"/>
    <w:rsid w:val="00F3372C"/>
    <w:rsid w:val="00F3389B"/>
    <w:rsid w:val="00F34104"/>
    <w:rsid w:val="00F34C9E"/>
    <w:rsid w:val="00F350A1"/>
    <w:rsid w:val="00F36357"/>
    <w:rsid w:val="00F36FD1"/>
    <w:rsid w:val="00F4018F"/>
    <w:rsid w:val="00F4082D"/>
    <w:rsid w:val="00F40C05"/>
    <w:rsid w:val="00F41006"/>
    <w:rsid w:val="00F452BE"/>
    <w:rsid w:val="00F4546F"/>
    <w:rsid w:val="00F45532"/>
    <w:rsid w:val="00F45A0D"/>
    <w:rsid w:val="00F46138"/>
    <w:rsid w:val="00F4624E"/>
    <w:rsid w:val="00F46621"/>
    <w:rsid w:val="00F47C44"/>
    <w:rsid w:val="00F5086D"/>
    <w:rsid w:val="00F50FF3"/>
    <w:rsid w:val="00F517F2"/>
    <w:rsid w:val="00F526C5"/>
    <w:rsid w:val="00F53E79"/>
    <w:rsid w:val="00F54468"/>
    <w:rsid w:val="00F62DE4"/>
    <w:rsid w:val="00F635B0"/>
    <w:rsid w:val="00F649F4"/>
    <w:rsid w:val="00F64F49"/>
    <w:rsid w:val="00F6751F"/>
    <w:rsid w:val="00F700E6"/>
    <w:rsid w:val="00F70CE7"/>
    <w:rsid w:val="00F71234"/>
    <w:rsid w:val="00F73926"/>
    <w:rsid w:val="00F74A67"/>
    <w:rsid w:val="00F75107"/>
    <w:rsid w:val="00F76806"/>
    <w:rsid w:val="00F76922"/>
    <w:rsid w:val="00F80CEE"/>
    <w:rsid w:val="00F81F42"/>
    <w:rsid w:val="00F8443C"/>
    <w:rsid w:val="00F8478E"/>
    <w:rsid w:val="00F85065"/>
    <w:rsid w:val="00F86128"/>
    <w:rsid w:val="00F87398"/>
    <w:rsid w:val="00F91317"/>
    <w:rsid w:val="00F92628"/>
    <w:rsid w:val="00F94C70"/>
    <w:rsid w:val="00F97D8E"/>
    <w:rsid w:val="00FA04AF"/>
    <w:rsid w:val="00FA7784"/>
    <w:rsid w:val="00FB3EB4"/>
    <w:rsid w:val="00FB490B"/>
    <w:rsid w:val="00FB5CA1"/>
    <w:rsid w:val="00FB6BEB"/>
    <w:rsid w:val="00FB788B"/>
    <w:rsid w:val="00FC04B5"/>
    <w:rsid w:val="00FC2067"/>
    <w:rsid w:val="00FC2602"/>
    <w:rsid w:val="00FC28F7"/>
    <w:rsid w:val="00FC7EEE"/>
    <w:rsid w:val="00FD0D73"/>
    <w:rsid w:val="00FD3EA4"/>
    <w:rsid w:val="00FD6AAF"/>
    <w:rsid w:val="00FD7E50"/>
    <w:rsid w:val="00FE1F4F"/>
    <w:rsid w:val="00FE4C13"/>
    <w:rsid w:val="00FE7457"/>
    <w:rsid w:val="00FF2B27"/>
    <w:rsid w:val="00FF5264"/>
    <w:rsid w:val="00FF67FA"/>
    <w:rsid w:val="01FF0067"/>
    <w:rsid w:val="028B18FB"/>
    <w:rsid w:val="029A7C8F"/>
    <w:rsid w:val="02DE5ECF"/>
    <w:rsid w:val="02E903CF"/>
    <w:rsid w:val="03E05C76"/>
    <w:rsid w:val="041059C0"/>
    <w:rsid w:val="04115814"/>
    <w:rsid w:val="044E1C2B"/>
    <w:rsid w:val="04640655"/>
    <w:rsid w:val="05551D6C"/>
    <w:rsid w:val="05931291"/>
    <w:rsid w:val="06734B80"/>
    <w:rsid w:val="06B63265"/>
    <w:rsid w:val="07911761"/>
    <w:rsid w:val="08114650"/>
    <w:rsid w:val="091C14FF"/>
    <w:rsid w:val="09AC5238"/>
    <w:rsid w:val="09B91E73"/>
    <w:rsid w:val="0B453DBF"/>
    <w:rsid w:val="0B6C7DF0"/>
    <w:rsid w:val="0C3A6B50"/>
    <w:rsid w:val="0CBC55DD"/>
    <w:rsid w:val="0D621DA0"/>
    <w:rsid w:val="0E175E4F"/>
    <w:rsid w:val="0E74336A"/>
    <w:rsid w:val="0F3D3A4A"/>
    <w:rsid w:val="0F915630"/>
    <w:rsid w:val="0FBC682D"/>
    <w:rsid w:val="0FDA5E7C"/>
    <w:rsid w:val="0FE62886"/>
    <w:rsid w:val="106422A2"/>
    <w:rsid w:val="11020FDA"/>
    <w:rsid w:val="121E6E1F"/>
    <w:rsid w:val="124F64A1"/>
    <w:rsid w:val="12FD669C"/>
    <w:rsid w:val="13620456"/>
    <w:rsid w:val="141C6857"/>
    <w:rsid w:val="14956609"/>
    <w:rsid w:val="14B1541F"/>
    <w:rsid w:val="14CB202B"/>
    <w:rsid w:val="15681628"/>
    <w:rsid w:val="16133C89"/>
    <w:rsid w:val="1615355E"/>
    <w:rsid w:val="175E4A65"/>
    <w:rsid w:val="182A0D45"/>
    <w:rsid w:val="18CF5571"/>
    <w:rsid w:val="18EC3795"/>
    <w:rsid w:val="1945669A"/>
    <w:rsid w:val="1A0C2EC9"/>
    <w:rsid w:val="1A676352"/>
    <w:rsid w:val="1A713C1F"/>
    <w:rsid w:val="1AC506ED"/>
    <w:rsid w:val="1B3A0A95"/>
    <w:rsid w:val="1B3A2F9D"/>
    <w:rsid w:val="1B3A3A66"/>
    <w:rsid w:val="1B903686"/>
    <w:rsid w:val="1C661E6D"/>
    <w:rsid w:val="1D3B0967"/>
    <w:rsid w:val="1DBD4B98"/>
    <w:rsid w:val="1DCF493A"/>
    <w:rsid w:val="1DEB1048"/>
    <w:rsid w:val="1DF22B3C"/>
    <w:rsid w:val="1E420CBE"/>
    <w:rsid w:val="1EF06916"/>
    <w:rsid w:val="1F625C18"/>
    <w:rsid w:val="1F767E64"/>
    <w:rsid w:val="1F7F7E6A"/>
    <w:rsid w:val="1FB71B33"/>
    <w:rsid w:val="1FF82CAC"/>
    <w:rsid w:val="202647F7"/>
    <w:rsid w:val="206A5224"/>
    <w:rsid w:val="20F31418"/>
    <w:rsid w:val="210C37AF"/>
    <w:rsid w:val="212E273D"/>
    <w:rsid w:val="21527B83"/>
    <w:rsid w:val="215A09BE"/>
    <w:rsid w:val="21D32688"/>
    <w:rsid w:val="22CB5E23"/>
    <w:rsid w:val="22E42C35"/>
    <w:rsid w:val="235F294A"/>
    <w:rsid w:val="23653452"/>
    <w:rsid w:val="23BA00A2"/>
    <w:rsid w:val="23FB76B9"/>
    <w:rsid w:val="23FE3883"/>
    <w:rsid w:val="246F478D"/>
    <w:rsid w:val="24A401E4"/>
    <w:rsid w:val="24AD1BC4"/>
    <w:rsid w:val="25590B49"/>
    <w:rsid w:val="258E50DA"/>
    <w:rsid w:val="259C1DC8"/>
    <w:rsid w:val="25DE3CBB"/>
    <w:rsid w:val="266E4003"/>
    <w:rsid w:val="267A11BB"/>
    <w:rsid w:val="268812DB"/>
    <w:rsid w:val="269654E3"/>
    <w:rsid w:val="26AA327D"/>
    <w:rsid w:val="270B7AC8"/>
    <w:rsid w:val="27703550"/>
    <w:rsid w:val="28074CD0"/>
    <w:rsid w:val="290F05C4"/>
    <w:rsid w:val="297A7FA5"/>
    <w:rsid w:val="2984009C"/>
    <w:rsid w:val="29862108"/>
    <w:rsid w:val="298F6472"/>
    <w:rsid w:val="2A7517C0"/>
    <w:rsid w:val="2A795E57"/>
    <w:rsid w:val="2AE80AD7"/>
    <w:rsid w:val="2AF272BD"/>
    <w:rsid w:val="2D0A159E"/>
    <w:rsid w:val="2D7D772A"/>
    <w:rsid w:val="2DE15604"/>
    <w:rsid w:val="2E8E6166"/>
    <w:rsid w:val="2EA9088F"/>
    <w:rsid w:val="2F566C69"/>
    <w:rsid w:val="2F9B467C"/>
    <w:rsid w:val="304E5B92"/>
    <w:rsid w:val="305247DB"/>
    <w:rsid w:val="308415B4"/>
    <w:rsid w:val="309F60E3"/>
    <w:rsid w:val="30B04521"/>
    <w:rsid w:val="31485B61"/>
    <w:rsid w:val="315076E8"/>
    <w:rsid w:val="318B3424"/>
    <w:rsid w:val="31D2190C"/>
    <w:rsid w:val="32655415"/>
    <w:rsid w:val="32B70DC5"/>
    <w:rsid w:val="32D70A47"/>
    <w:rsid w:val="33725B8E"/>
    <w:rsid w:val="33A27236"/>
    <w:rsid w:val="33C06508"/>
    <w:rsid w:val="34360E17"/>
    <w:rsid w:val="349313D0"/>
    <w:rsid w:val="34C2697F"/>
    <w:rsid w:val="35296DE4"/>
    <w:rsid w:val="355C181D"/>
    <w:rsid w:val="35A053D3"/>
    <w:rsid w:val="35D11B70"/>
    <w:rsid w:val="362E3CD5"/>
    <w:rsid w:val="36F11B9A"/>
    <w:rsid w:val="38D07641"/>
    <w:rsid w:val="39580A05"/>
    <w:rsid w:val="397F0B6A"/>
    <w:rsid w:val="39932868"/>
    <w:rsid w:val="39BA0B35"/>
    <w:rsid w:val="39D013C6"/>
    <w:rsid w:val="39F22FDA"/>
    <w:rsid w:val="3A2F7D52"/>
    <w:rsid w:val="3A8B3E85"/>
    <w:rsid w:val="3B092B44"/>
    <w:rsid w:val="3CB55BF6"/>
    <w:rsid w:val="3D387D66"/>
    <w:rsid w:val="3E0762C3"/>
    <w:rsid w:val="3E1034A1"/>
    <w:rsid w:val="3E1B36E3"/>
    <w:rsid w:val="3E447CFD"/>
    <w:rsid w:val="3EE735A7"/>
    <w:rsid w:val="3F1E2BD3"/>
    <w:rsid w:val="403703F1"/>
    <w:rsid w:val="40DC6D8D"/>
    <w:rsid w:val="40E52187"/>
    <w:rsid w:val="41087697"/>
    <w:rsid w:val="412A20B8"/>
    <w:rsid w:val="418E6E19"/>
    <w:rsid w:val="42004812"/>
    <w:rsid w:val="420B0476"/>
    <w:rsid w:val="42404581"/>
    <w:rsid w:val="42894808"/>
    <w:rsid w:val="42D86298"/>
    <w:rsid w:val="42EE0B0F"/>
    <w:rsid w:val="43874EB8"/>
    <w:rsid w:val="439F739E"/>
    <w:rsid w:val="43C53EED"/>
    <w:rsid w:val="43DB1093"/>
    <w:rsid w:val="44086D9A"/>
    <w:rsid w:val="440B71BB"/>
    <w:rsid w:val="4441584C"/>
    <w:rsid w:val="444C65CD"/>
    <w:rsid w:val="446E1C6F"/>
    <w:rsid w:val="44EF6B85"/>
    <w:rsid w:val="4525470A"/>
    <w:rsid w:val="45513D03"/>
    <w:rsid w:val="45780F51"/>
    <w:rsid w:val="45C323F1"/>
    <w:rsid w:val="466330FF"/>
    <w:rsid w:val="467363F8"/>
    <w:rsid w:val="46C978C9"/>
    <w:rsid w:val="47310BC3"/>
    <w:rsid w:val="473968FE"/>
    <w:rsid w:val="474732F8"/>
    <w:rsid w:val="485F7C46"/>
    <w:rsid w:val="498E0956"/>
    <w:rsid w:val="49FC6E82"/>
    <w:rsid w:val="4AC128C1"/>
    <w:rsid w:val="4B3308B5"/>
    <w:rsid w:val="4B337875"/>
    <w:rsid w:val="4B5E0F69"/>
    <w:rsid w:val="4B727C4A"/>
    <w:rsid w:val="4C592403"/>
    <w:rsid w:val="4C5D4A87"/>
    <w:rsid w:val="4C863DA4"/>
    <w:rsid w:val="4CC56D43"/>
    <w:rsid w:val="4CF431C6"/>
    <w:rsid w:val="4D101657"/>
    <w:rsid w:val="4D6B3488"/>
    <w:rsid w:val="4D891B60"/>
    <w:rsid w:val="4DB43081"/>
    <w:rsid w:val="4E120E4F"/>
    <w:rsid w:val="4EE15319"/>
    <w:rsid w:val="4F755F96"/>
    <w:rsid w:val="4FCE7CFE"/>
    <w:rsid w:val="51791EEB"/>
    <w:rsid w:val="526B7E3F"/>
    <w:rsid w:val="52A925E8"/>
    <w:rsid w:val="52EB531A"/>
    <w:rsid w:val="534E30A1"/>
    <w:rsid w:val="53826985"/>
    <w:rsid w:val="53866166"/>
    <w:rsid w:val="53E27405"/>
    <w:rsid w:val="54090B2A"/>
    <w:rsid w:val="54B82E4B"/>
    <w:rsid w:val="54FD6961"/>
    <w:rsid w:val="56006F4E"/>
    <w:rsid w:val="560E354A"/>
    <w:rsid w:val="57684EDC"/>
    <w:rsid w:val="577B5D8A"/>
    <w:rsid w:val="57893085"/>
    <w:rsid w:val="597A34A2"/>
    <w:rsid w:val="59D76D95"/>
    <w:rsid w:val="5B302D4D"/>
    <w:rsid w:val="5B7E082A"/>
    <w:rsid w:val="5C2B6D59"/>
    <w:rsid w:val="5C8B41AB"/>
    <w:rsid w:val="5D245C48"/>
    <w:rsid w:val="5D423AD9"/>
    <w:rsid w:val="5DB6074F"/>
    <w:rsid w:val="5EA82788"/>
    <w:rsid w:val="5F23318E"/>
    <w:rsid w:val="5F264AF1"/>
    <w:rsid w:val="5FDF615F"/>
    <w:rsid w:val="608F40A8"/>
    <w:rsid w:val="609355AC"/>
    <w:rsid w:val="60957D19"/>
    <w:rsid w:val="609B040A"/>
    <w:rsid w:val="61C86D4A"/>
    <w:rsid w:val="62807BBC"/>
    <w:rsid w:val="62BB5EA5"/>
    <w:rsid w:val="62C751AC"/>
    <w:rsid w:val="63193E36"/>
    <w:rsid w:val="63844E4C"/>
    <w:rsid w:val="64852C29"/>
    <w:rsid w:val="64AE59F6"/>
    <w:rsid w:val="65B56C0B"/>
    <w:rsid w:val="65C97631"/>
    <w:rsid w:val="66251B68"/>
    <w:rsid w:val="66664CDC"/>
    <w:rsid w:val="67127912"/>
    <w:rsid w:val="6732221A"/>
    <w:rsid w:val="674D1342"/>
    <w:rsid w:val="68192DC7"/>
    <w:rsid w:val="687A3C05"/>
    <w:rsid w:val="68940414"/>
    <w:rsid w:val="69553B4D"/>
    <w:rsid w:val="69724AD7"/>
    <w:rsid w:val="698F2F8F"/>
    <w:rsid w:val="699A7177"/>
    <w:rsid w:val="699F771D"/>
    <w:rsid w:val="6B030D4C"/>
    <w:rsid w:val="6B807383"/>
    <w:rsid w:val="6BBD6062"/>
    <w:rsid w:val="6BE74E19"/>
    <w:rsid w:val="6C001E4A"/>
    <w:rsid w:val="6C0E785F"/>
    <w:rsid w:val="6D6F26C8"/>
    <w:rsid w:val="6E18382A"/>
    <w:rsid w:val="6E2A65EF"/>
    <w:rsid w:val="6E625D89"/>
    <w:rsid w:val="6EBF6F4C"/>
    <w:rsid w:val="6FAE76E8"/>
    <w:rsid w:val="700239E9"/>
    <w:rsid w:val="7060279C"/>
    <w:rsid w:val="719641E7"/>
    <w:rsid w:val="71C92F88"/>
    <w:rsid w:val="71DB0B17"/>
    <w:rsid w:val="72946F4B"/>
    <w:rsid w:val="72AD56B1"/>
    <w:rsid w:val="72C64E61"/>
    <w:rsid w:val="730829F7"/>
    <w:rsid w:val="73641BFE"/>
    <w:rsid w:val="74B66E2F"/>
    <w:rsid w:val="74CE6A7E"/>
    <w:rsid w:val="74EE6617"/>
    <w:rsid w:val="753A180E"/>
    <w:rsid w:val="756276E8"/>
    <w:rsid w:val="75734D20"/>
    <w:rsid w:val="75864A53"/>
    <w:rsid w:val="75A1363B"/>
    <w:rsid w:val="75B77661"/>
    <w:rsid w:val="76BF43FB"/>
    <w:rsid w:val="788460D8"/>
    <w:rsid w:val="78B6564F"/>
    <w:rsid w:val="78EA354B"/>
    <w:rsid w:val="796D2967"/>
    <w:rsid w:val="7A097F14"/>
    <w:rsid w:val="7A592736"/>
    <w:rsid w:val="7AA240DD"/>
    <w:rsid w:val="7AA37E55"/>
    <w:rsid w:val="7B3B7919"/>
    <w:rsid w:val="7B683833"/>
    <w:rsid w:val="7B6F7CF7"/>
    <w:rsid w:val="7C4B2B74"/>
    <w:rsid w:val="7C804BFA"/>
    <w:rsid w:val="7C831CEC"/>
    <w:rsid w:val="7C89326C"/>
    <w:rsid w:val="7D013D1F"/>
    <w:rsid w:val="7D0746CC"/>
    <w:rsid w:val="7D26648E"/>
    <w:rsid w:val="7E611BB9"/>
    <w:rsid w:val="7E727B3D"/>
    <w:rsid w:val="7EB77390"/>
    <w:rsid w:val="7EF70770"/>
    <w:rsid w:val="7F70030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4" w:lineRule="atLeast"/>
      <w:ind w:left="1" w:firstLine="420"/>
      <w:jc w:val="both"/>
      <w:textAlignment w:val="bottom"/>
    </w:pPr>
    <w:rPr>
      <w:rFonts w:ascii="Times New Roman" w:hAnsi="Times New Roman" w:eastAsia="宋体" w:cs="Times New Roman"/>
      <w:color w:val="000000"/>
      <w:sz w:val="21"/>
      <w:szCs w:val="21"/>
      <w:lang w:val="en-US" w:eastAsia="zh-CN" w:bidi="ar-SA"/>
    </w:rPr>
  </w:style>
  <w:style w:type="paragraph" w:styleId="2">
    <w:name w:val="heading 1"/>
    <w:basedOn w:val="1"/>
    <w:next w:val="3"/>
    <w:link w:val="20"/>
    <w:qFormat/>
    <w:uiPriority w:val="99"/>
    <w:pPr>
      <w:spacing w:before="159" w:after="153" w:line="554" w:lineRule="atLeast"/>
      <w:ind w:firstLine="0"/>
      <w:jc w:val="center"/>
      <w:outlineLvl w:val="0"/>
    </w:pPr>
    <w:rPr>
      <w:rFonts w:ascii="Arial" w:hAnsi="Arial" w:eastAsia="黑体" w:cs="Arial"/>
      <w:sz w:val="32"/>
      <w:szCs w:val="32"/>
    </w:rPr>
  </w:style>
  <w:style w:type="paragraph" w:styleId="3">
    <w:name w:val="heading 2"/>
    <w:basedOn w:val="1"/>
    <w:next w:val="4"/>
    <w:link w:val="21"/>
    <w:qFormat/>
    <w:uiPriority w:val="99"/>
    <w:pPr>
      <w:spacing w:line="519" w:lineRule="atLeast"/>
      <w:ind w:firstLine="0"/>
      <w:jc w:val="center"/>
      <w:outlineLvl w:val="1"/>
    </w:pPr>
    <w:rPr>
      <w:sz w:val="28"/>
      <w:szCs w:val="28"/>
    </w:rPr>
  </w:style>
  <w:style w:type="paragraph" w:styleId="4">
    <w:name w:val="heading 3"/>
    <w:basedOn w:val="1"/>
    <w:next w:val="1"/>
    <w:link w:val="22"/>
    <w:qFormat/>
    <w:uiPriority w:val="99"/>
    <w:pPr>
      <w:spacing w:before="176" w:after="102"/>
      <w:ind w:firstLine="0"/>
      <w:outlineLvl w:val="2"/>
    </w:pPr>
    <w:rPr>
      <w:rFonts w:eastAsia="黑体"/>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semiHidden/>
    <w:qFormat/>
    <w:uiPriority w:val="99"/>
    <w:pPr>
      <w:spacing w:line="548" w:lineRule="atLeast"/>
    </w:pPr>
  </w:style>
  <w:style w:type="paragraph" w:styleId="6">
    <w:name w:val="Date"/>
    <w:basedOn w:val="1"/>
    <w:next w:val="1"/>
    <w:link w:val="23"/>
    <w:qFormat/>
    <w:uiPriority w:val="99"/>
    <w:pPr>
      <w:ind w:left="100" w:leftChars="2500"/>
    </w:pPr>
  </w:style>
  <w:style w:type="paragraph" w:styleId="7">
    <w:name w:val="footer"/>
    <w:basedOn w:val="1"/>
    <w:link w:val="24"/>
    <w:qFormat/>
    <w:uiPriority w:val="99"/>
    <w:pPr>
      <w:tabs>
        <w:tab w:val="center" w:pos="4153"/>
        <w:tab w:val="right" w:pos="8306"/>
      </w:tabs>
      <w:snapToGrid w:val="0"/>
      <w:jc w:val="left"/>
    </w:pPr>
    <w:rPr>
      <w:sz w:val="18"/>
      <w:szCs w:val="18"/>
    </w:rPr>
  </w:style>
  <w:style w:type="paragraph" w:styleId="8">
    <w:name w:val="header"/>
    <w:basedOn w:val="1"/>
    <w:link w:val="25"/>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semiHidden/>
    <w:qFormat/>
    <w:uiPriority w:val="99"/>
    <w:pPr>
      <w:spacing w:after="136" w:line="519" w:lineRule="atLeast"/>
      <w:ind w:firstLine="0"/>
      <w:jc w:val="left"/>
    </w:pPr>
    <w:rPr>
      <w:rFonts w:ascii="Arial" w:hAnsi="Arial" w:eastAsia="黑体" w:cs="Arial"/>
      <w:sz w:val="28"/>
      <w:szCs w:val="28"/>
    </w:rPr>
  </w:style>
  <w:style w:type="paragraph" w:styleId="10">
    <w:name w:val="toc 4"/>
    <w:basedOn w:val="1"/>
    <w:next w:val="1"/>
    <w:semiHidden/>
    <w:qFormat/>
    <w:uiPriority w:val="99"/>
    <w:pPr>
      <w:spacing w:line="548" w:lineRule="atLeast"/>
      <w:ind w:firstLine="630"/>
    </w:pPr>
  </w:style>
  <w:style w:type="paragraph" w:styleId="11">
    <w:name w:val="toc 2"/>
    <w:basedOn w:val="1"/>
    <w:next w:val="1"/>
    <w:semiHidden/>
    <w:qFormat/>
    <w:uiPriority w:val="99"/>
    <w:pPr>
      <w:spacing w:line="548" w:lineRule="atLeast"/>
      <w:ind w:firstLine="210"/>
    </w:pPr>
  </w:style>
  <w:style w:type="paragraph" w:styleId="12">
    <w:name w:val="Normal (Web)"/>
    <w:basedOn w:val="1"/>
    <w:unhideWhenUsed/>
    <w:qFormat/>
    <w:locked/>
    <w:uiPriority w:val="99"/>
    <w:pPr>
      <w:widowControl/>
      <w:spacing w:before="100" w:beforeAutospacing="1" w:after="100" w:afterAutospacing="1" w:line="240" w:lineRule="auto"/>
      <w:ind w:left="0" w:firstLine="0"/>
      <w:jc w:val="left"/>
      <w:textAlignment w:val="auto"/>
    </w:pPr>
    <w:rPr>
      <w:rFonts w:ascii="宋体" w:hAnsi="宋体" w:cs="宋体"/>
      <w:color w:val="auto"/>
      <w:sz w:val="24"/>
      <w:szCs w:val="24"/>
    </w:rPr>
  </w:style>
  <w:style w:type="paragraph" w:styleId="13">
    <w:name w:val="Title"/>
    <w:basedOn w:val="1"/>
    <w:next w:val="14"/>
    <w:link w:val="26"/>
    <w:qFormat/>
    <w:uiPriority w:val="99"/>
    <w:pPr>
      <w:spacing w:before="567" w:after="545" w:line="808" w:lineRule="atLeast"/>
      <w:ind w:firstLine="0"/>
      <w:jc w:val="center"/>
    </w:pPr>
    <w:rPr>
      <w:rFonts w:ascii="Arial" w:hAnsi="Arial" w:eastAsia="黑体" w:cs="Arial"/>
      <w:sz w:val="52"/>
      <w:szCs w:val="52"/>
    </w:rPr>
  </w:style>
  <w:style w:type="paragraph" w:customStyle="1" w:styleId="14">
    <w:name w:val="文章副标题"/>
    <w:basedOn w:val="1"/>
    <w:next w:val="2"/>
    <w:qFormat/>
    <w:uiPriority w:val="99"/>
    <w:pPr>
      <w:spacing w:before="104" w:after="104" w:line="240" w:lineRule="atLeast"/>
      <w:ind w:firstLine="0"/>
      <w:jc w:val="center"/>
    </w:pPr>
    <w:rPr>
      <w:sz w:val="36"/>
      <w:szCs w:val="36"/>
    </w:rPr>
  </w:style>
  <w:style w:type="character" w:styleId="17">
    <w:name w:val="Strong"/>
    <w:basedOn w:val="16"/>
    <w:qFormat/>
    <w:uiPriority w:val="22"/>
    <w:rPr>
      <w:b/>
      <w:bCs/>
    </w:rPr>
  </w:style>
  <w:style w:type="character" w:styleId="18">
    <w:name w:val="page number"/>
    <w:basedOn w:val="16"/>
    <w:qFormat/>
    <w:uiPriority w:val="99"/>
    <w:rPr>
      <w:rFonts w:cs="Times New Roman"/>
    </w:rPr>
  </w:style>
  <w:style w:type="character" w:styleId="19">
    <w:name w:val="Hyperlink"/>
    <w:basedOn w:val="16"/>
    <w:qFormat/>
    <w:uiPriority w:val="99"/>
    <w:rPr>
      <w:rFonts w:cs="Times New Roman"/>
      <w:color w:val="0000FF"/>
      <w:u w:val="single"/>
    </w:rPr>
  </w:style>
  <w:style w:type="character" w:customStyle="1" w:styleId="20">
    <w:name w:val="标题 1 Char"/>
    <w:basedOn w:val="16"/>
    <w:link w:val="2"/>
    <w:qFormat/>
    <w:locked/>
    <w:uiPriority w:val="99"/>
    <w:rPr>
      <w:rFonts w:cs="Times New Roman"/>
      <w:b/>
      <w:bCs/>
      <w:color w:val="000000"/>
      <w:kern w:val="44"/>
      <w:sz w:val="44"/>
      <w:szCs w:val="44"/>
    </w:rPr>
  </w:style>
  <w:style w:type="character" w:customStyle="1" w:styleId="21">
    <w:name w:val="标题 2 Char"/>
    <w:basedOn w:val="16"/>
    <w:link w:val="3"/>
    <w:semiHidden/>
    <w:qFormat/>
    <w:locked/>
    <w:uiPriority w:val="99"/>
    <w:rPr>
      <w:rFonts w:ascii="Cambria" w:hAnsi="Cambria" w:eastAsia="宋体" w:cs="Cambria"/>
      <w:b/>
      <w:bCs/>
      <w:color w:val="000000"/>
      <w:kern w:val="0"/>
      <w:sz w:val="32"/>
      <w:szCs w:val="32"/>
    </w:rPr>
  </w:style>
  <w:style w:type="character" w:customStyle="1" w:styleId="22">
    <w:name w:val="标题 3 Char"/>
    <w:basedOn w:val="16"/>
    <w:link w:val="4"/>
    <w:semiHidden/>
    <w:qFormat/>
    <w:locked/>
    <w:uiPriority w:val="99"/>
    <w:rPr>
      <w:rFonts w:cs="Times New Roman"/>
      <w:b/>
      <w:bCs/>
      <w:color w:val="000000"/>
      <w:kern w:val="0"/>
      <w:sz w:val="32"/>
      <w:szCs w:val="32"/>
    </w:rPr>
  </w:style>
  <w:style w:type="character" w:customStyle="1" w:styleId="23">
    <w:name w:val="日期 Char"/>
    <w:basedOn w:val="16"/>
    <w:link w:val="6"/>
    <w:semiHidden/>
    <w:qFormat/>
    <w:locked/>
    <w:uiPriority w:val="99"/>
    <w:rPr>
      <w:rFonts w:cs="Times New Roman"/>
      <w:color w:val="000000"/>
      <w:kern w:val="0"/>
      <w:sz w:val="20"/>
      <w:szCs w:val="20"/>
    </w:rPr>
  </w:style>
  <w:style w:type="character" w:customStyle="1" w:styleId="24">
    <w:name w:val="页脚 Char"/>
    <w:basedOn w:val="16"/>
    <w:link w:val="7"/>
    <w:semiHidden/>
    <w:qFormat/>
    <w:locked/>
    <w:uiPriority w:val="99"/>
    <w:rPr>
      <w:rFonts w:cs="Times New Roman"/>
      <w:color w:val="000000"/>
      <w:kern w:val="0"/>
      <w:sz w:val="18"/>
      <w:szCs w:val="18"/>
    </w:rPr>
  </w:style>
  <w:style w:type="character" w:customStyle="1" w:styleId="25">
    <w:name w:val="页眉 Char"/>
    <w:basedOn w:val="16"/>
    <w:link w:val="8"/>
    <w:semiHidden/>
    <w:qFormat/>
    <w:locked/>
    <w:uiPriority w:val="99"/>
    <w:rPr>
      <w:rFonts w:cs="Times New Roman"/>
      <w:color w:val="000000"/>
      <w:kern w:val="0"/>
      <w:sz w:val="18"/>
      <w:szCs w:val="18"/>
    </w:rPr>
  </w:style>
  <w:style w:type="character" w:customStyle="1" w:styleId="26">
    <w:name w:val="标题 Char"/>
    <w:basedOn w:val="16"/>
    <w:link w:val="13"/>
    <w:qFormat/>
    <w:locked/>
    <w:uiPriority w:val="99"/>
    <w:rPr>
      <w:rFonts w:ascii="Cambria" w:hAnsi="Cambria" w:cs="Cambria"/>
      <w:b/>
      <w:bCs/>
      <w:color w:val="000000"/>
      <w:kern w:val="0"/>
      <w:sz w:val="32"/>
      <w:szCs w:val="32"/>
    </w:rPr>
  </w:style>
  <w:style w:type="character" w:customStyle="1" w:styleId="27">
    <w:name w:val="默认段落字体 Char"/>
    <w:qFormat/>
    <w:uiPriority w:val="99"/>
    <w:rPr>
      <w:rFonts w:ascii="Times New Roman" w:hAnsi="Times New Roman" w:eastAsia="宋体"/>
      <w:color w:val="000000"/>
      <w:spacing w:val="0"/>
      <w:w w:val="100"/>
      <w:sz w:val="21"/>
      <w:vertAlign w:val="baseline"/>
    </w:rPr>
  </w:style>
  <w:style w:type="character" w:customStyle="1" w:styleId="28">
    <w:name w:val="链接"/>
    <w:basedOn w:val="16"/>
    <w:qFormat/>
    <w:uiPriority w:val="99"/>
    <w:rPr>
      <w:rFonts w:ascii="Times New Roman" w:hAnsi="Times New Roman" w:eastAsia="宋体" w:cs="Times New Roman"/>
      <w:color w:val="0000FF"/>
      <w:sz w:val="21"/>
      <w:szCs w:val="21"/>
      <w:u w:val="single" w:color="0000FF"/>
      <w:vertAlign w:val="baseline"/>
    </w:rPr>
  </w:style>
  <w:style w:type="character" w:customStyle="1" w:styleId="29">
    <w:name w:val="超级链接"/>
    <w:basedOn w:val="27"/>
    <w:qFormat/>
    <w:uiPriority w:val="99"/>
    <w:rPr>
      <w:rFonts w:cs="Times New Roman"/>
      <w:color w:val="0000FF"/>
      <w:szCs w:val="21"/>
      <w:u w:val="single" w:color="0000FF"/>
    </w:rPr>
  </w:style>
  <w:style w:type="paragraph" w:customStyle="1" w:styleId="30">
    <w:name w:val="WPS Plain"/>
    <w:qFormat/>
    <w:uiPriority w:val="99"/>
    <w:rPr>
      <w:rFonts w:ascii="Times New Roman" w:hAnsi="Times New Roman" w:eastAsia="宋体" w:cs="Times New Roman"/>
      <w:lang w:val="en-US" w:eastAsia="zh-CN" w:bidi="ar-SA"/>
    </w:rPr>
  </w:style>
  <w:style w:type="paragraph" w:customStyle="1" w:styleId="31">
    <w:name w:val="普通表格1"/>
    <w:qFormat/>
    <w:uiPriority w:val="99"/>
    <w:rPr>
      <w:rFonts w:ascii="Times New Roman" w:hAnsi="Times New Roman" w:eastAsia="宋体" w:cs="Times New Roman"/>
      <w:lang w:val="en-US" w:eastAsia="zh-CN" w:bidi="ar-SA"/>
    </w:rPr>
  </w:style>
  <w:style w:type="paragraph" w:customStyle="1" w:styleId="32">
    <w:name w:val="目录标题"/>
    <w:basedOn w:val="1"/>
    <w:next w:val="1"/>
    <w:qFormat/>
    <w:uiPriority w:val="99"/>
    <w:pPr>
      <w:spacing w:before="567" w:after="545" w:line="808" w:lineRule="atLeast"/>
      <w:jc w:val="center"/>
    </w:pPr>
    <w:rPr>
      <w:rFonts w:ascii="Arial" w:hAnsi="Arial" w:eastAsia="黑体" w:cs="Arial"/>
      <w:spacing w:val="283"/>
      <w:sz w:val="52"/>
      <w:szCs w:val="52"/>
    </w:rPr>
  </w:style>
  <w:style w:type="paragraph" w:customStyle="1" w:styleId="33">
    <w:name w:val="无列表1"/>
    <w:qFormat/>
    <w:uiPriority w:val="99"/>
    <w:rPr>
      <w:rFonts w:ascii="Times New Roman" w:hAnsi="Times New Roman" w:eastAsia="宋体" w:cs="Times New Roman"/>
      <w:lang w:val="en-US" w:eastAsia="zh-CN" w:bidi="ar-SA"/>
    </w:rPr>
  </w:style>
  <w:style w:type="paragraph" w:customStyle="1" w:styleId="34">
    <w:name w:val="0"/>
    <w:basedOn w:val="1"/>
    <w:qFormat/>
    <w:uiPriority w:val="99"/>
    <w:pPr>
      <w:widowControl/>
      <w:snapToGrid w:val="0"/>
      <w:spacing w:line="240" w:lineRule="auto"/>
      <w:ind w:left="0" w:firstLine="0"/>
      <w:textAlignment w:val="auto"/>
    </w:pPr>
    <w:rPr>
      <w:color w:val="auto"/>
    </w:rPr>
  </w:style>
  <w:style w:type="paragraph" w:customStyle="1" w:styleId="35">
    <w:name w:val="文章附标题"/>
    <w:basedOn w:val="1"/>
    <w:qFormat/>
    <w:uiPriority w:val="99"/>
    <w:pPr>
      <w:spacing w:before="187" w:after="176" w:line="607" w:lineRule="atLeast"/>
      <w:ind w:firstLine="0"/>
      <w:jc w:val="center"/>
    </w:pPr>
    <w:rPr>
      <w:sz w:val="36"/>
      <w:szCs w:val="36"/>
    </w:rPr>
  </w:style>
  <w:style w:type="paragraph" w:styleId="36">
    <w:name w:val="List Paragraph"/>
    <w:basedOn w:val="1"/>
    <w:qFormat/>
    <w:uiPriority w:val="99"/>
    <w:pPr>
      <w:spacing w:line="240" w:lineRule="auto"/>
      <w:ind w:left="0" w:firstLine="200" w:firstLineChars="200"/>
      <w:textAlignment w:val="auto"/>
    </w:pPr>
    <w:rPr>
      <w:rFonts w:ascii="Calibri" w:hAnsi="Calibri"/>
      <w:color w:val="auto"/>
      <w:kern w:val="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B98810-EC79-46DD-BFC0-1997FCBF0E0E}">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15</Pages>
  <Words>7637</Words>
  <Characters>8579</Characters>
  <Lines>41</Lines>
  <Paragraphs>11</Paragraphs>
  <TotalTime>81</TotalTime>
  <ScaleCrop>false</ScaleCrop>
  <LinksUpToDate>false</LinksUpToDate>
  <CharactersWithSpaces>8641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2021-09-30T02:02:00Z</dcterms:created>
  <dc:creator>Administrator</dc:creator>
  <cp:lastModifiedBy>sjyzx</cp:lastModifiedBy>
  <cp:lastPrinted>2021-09-30T02:39:00Z</cp:lastPrinted>
  <dcterms:modified xsi:type="dcterms:W3CDTF">2022-08-29T03:52:12Z</dcterms:modified>
  <dc:title>乌海市国土资源局</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C841281C41EA4B9E9A9B7662BE57DF56</vt:lpwstr>
  </property>
</Properties>
</file>