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2024年度乌海市土地收购储备中心</w:t>
      </w:r>
    </w:p>
    <w:p>
      <w:pPr>
        <w:spacing w:line="360" w:lineRule="auto"/>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eastAsia="zh-CN"/>
        </w:rPr>
        <w:t>单位决算</w:t>
      </w:r>
      <w:r>
        <w:rPr>
          <w:rFonts w:hint="eastAsia" w:ascii="方正小标宋简体" w:hAnsi="方正小标宋简体" w:eastAsia="方正小标宋简体" w:cs="方正小标宋简体"/>
          <w:b/>
          <w:bCs/>
          <w:sz w:val="44"/>
          <w:szCs w:val="44"/>
        </w:rPr>
        <w:t>公开报告</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hint="eastAsia" w:ascii="宋体" w:hAnsi="宋体"/>
          <w:sz w:val="32"/>
          <w:szCs w:val="32"/>
        </w:rPr>
      </w:pPr>
    </w:p>
    <w:p>
      <w:pPr>
        <w:spacing w:line="360" w:lineRule="auto"/>
        <w:ind w:firstLine="2240" w:firstLineChars="700"/>
        <w:jc w:val="left"/>
        <w:rPr>
          <w:rFonts w:hint="eastAsia" w:ascii="宋体" w:hAnsi="宋体"/>
          <w:sz w:val="32"/>
          <w:szCs w:val="32"/>
        </w:rPr>
      </w:pPr>
    </w:p>
    <w:p>
      <w:pPr>
        <w:spacing w:line="360" w:lineRule="auto"/>
        <w:ind w:firstLine="2240" w:firstLineChars="700"/>
        <w:jc w:val="left"/>
        <w:rPr>
          <w:rFonts w:ascii="宋体" w:hAnsi="宋体"/>
          <w:sz w:val="32"/>
          <w:szCs w:val="32"/>
        </w:rPr>
      </w:pPr>
      <w:r>
        <w:rPr>
          <w:rFonts w:hint="eastAsia" w:ascii="宋体" w:hAnsi="宋体"/>
          <w:sz w:val="32"/>
          <w:szCs w:val="32"/>
        </w:rPr>
        <w:t>单位名称：乌海市土地收购储备中心</w:t>
      </w:r>
    </w:p>
    <w:p>
      <w:pPr>
        <w:spacing w:line="360" w:lineRule="auto"/>
        <w:ind w:firstLine="2240" w:firstLineChars="700"/>
        <w:jc w:val="left"/>
        <w:rPr>
          <w:rFonts w:ascii="宋体" w:hAnsi="宋体"/>
          <w:sz w:val="32"/>
          <w:szCs w:val="32"/>
        </w:rPr>
      </w:pPr>
      <w:r>
        <w:rPr>
          <w:rFonts w:hint="eastAsia" w:ascii="宋体" w:hAnsi="宋体"/>
          <w:sz w:val="32"/>
          <w:szCs w:val="32"/>
        </w:rPr>
        <w:t>单位负责人：梁军</w:t>
      </w:r>
    </w:p>
    <w:p>
      <w:pPr>
        <w:spacing w:line="360" w:lineRule="auto"/>
        <w:ind w:firstLine="2240" w:firstLineChars="700"/>
        <w:jc w:val="left"/>
        <w:rPr>
          <w:rFonts w:ascii="宋体" w:hAnsi="宋体"/>
          <w:sz w:val="32"/>
          <w:szCs w:val="32"/>
        </w:rPr>
      </w:pPr>
      <w:r>
        <w:rPr>
          <w:rFonts w:hint="eastAsia" w:ascii="宋体" w:hAnsi="宋体"/>
          <w:sz w:val="32"/>
          <w:szCs w:val="32"/>
        </w:rPr>
        <w:t>财务负责人：高卓薇</w:t>
      </w:r>
    </w:p>
    <w:p>
      <w:pPr>
        <w:spacing w:line="360" w:lineRule="auto"/>
        <w:ind w:firstLine="2240" w:firstLineChars="700"/>
        <w:jc w:val="left"/>
        <w:rPr>
          <w:rFonts w:ascii="宋体" w:hAnsi="宋体"/>
          <w:sz w:val="32"/>
          <w:szCs w:val="32"/>
        </w:rPr>
      </w:pPr>
      <w:r>
        <w:rPr>
          <w:rFonts w:hint="eastAsia" w:ascii="宋体" w:hAnsi="宋体"/>
          <w:sz w:val="32"/>
          <w:szCs w:val="32"/>
        </w:rPr>
        <w:t>编制人：高卓薇</w:t>
      </w:r>
    </w:p>
    <w:p>
      <w:pPr>
        <w:spacing w:line="360" w:lineRule="auto"/>
        <w:ind w:firstLine="2240" w:firstLineChars="700"/>
        <w:jc w:val="left"/>
        <w:rPr>
          <w:rFonts w:hint="eastAsia" w:ascii="仿宋" w:hAnsi="仿宋" w:eastAsia="宋体"/>
          <w:b/>
          <w:sz w:val="32"/>
          <w:szCs w:val="32"/>
          <w:lang w:eastAsia="zh-CN"/>
        </w:rPr>
        <w:sectPr>
          <w:footerReference r:id="rId3" w:type="default"/>
          <w:pgSz w:w="11906" w:h="16838"/>
          <w:pgMar w:top="1440" w:right="1083" w:bottom="1440" w:left="1083" w:header="0" w:footer="720" w:gutter="0"/>
          <w:cols w:space="425" w:num="1"/>
          <w:docGrid w:type="lines" w:linePitch="312" w:charSpace="0"/>
        </w:sectPr>
      </w:pPr>
      <w:r>
        <w:rPr>
          <w:rFonts w:hint="eastAsia" w:ascii="宋体" w:hAnsi="宋体"/>
          <w:sz w:val="32"/>
          <w:szCs w:val="32"/>
        </w:rPr>
        <w:t>报送日期：</w:t>
      </w:r>
      <w:r>
        <w:rPr>
          <w:rFonts w:ascii="宋体" w:hAnsi="宋体"/>
          <w:sz w:val="32"/>
          <w:szCs w:val="32"/>
        </w:rPr>
        <w:t>202</w:t>
      </w:r>
      <w:r>
        <w:rPr>
          <w:rFonts w:hint="eastAsia" w:ascii="宋体" w:hAnsi="宋体"/>
          <w:sz w:val="32"/>
          <w:szCs w:val="32"/>
          <w:lang w:val="en-US" w:eastAsia="zh-CN"/>
        </w:rPr>
        <w:t>5</w:t>
      </w:r>
      <w:r>
        <w:rPr>
          <w:rFonts w:hint="eastAsia" w:ascii="宋体" w:hAnsi="宋体"/>
          <w:sz w:val="32"/>
          <w:szCs w:val="32"/>
        </w:rPr>
        <w:t>年10</w:t>
      </w:r>
      <w:r>
        <w:rPr>
          <w:rFonts w:hint="eastAsia" w:ascii="宋体" w:hAnsi="宋体"/>
          <w:sz w:val="32"/>
          <w:szCs w:val="32"/>
          <w:lang w:eastAsia="zh-CN"/>
        </w:rPr>
        <w:t>月</w:t>
      </w:r>
    </w:p>
    <w:p>
      <w:pPr>
        <w:spacing w:line="360" w:lineRule="auto"/>
        <w:jc w:val="both"/>
        <w:rPr>
          <w:rFonts w:ascii="宋体" w:hAnsi="宋体"/>
          <w:b/>
          <w:bCs/>
          <w:sz w:val="52"/>
          <w:szCs w:val="52"/>
        </w:rPr>
      </w:pPr>
    </w:p>
    <w:p>
      <w:pPr>
        <w:widowControl/>
        <w:spacing w:after="240"/>
        <w:jc w:val="center"/>
        <w:rPr>
          <w:rFonts w:ascii="Times New Roman" w:hAnsi="Times New Roman" w:eastAsia="Times New Roman" w:cs="Times New Roman"/>
          <w:kern w:val="0"/>
          <w:sz w:val="24"/>
        </w:rPr>
      </w:pPr>
      <w:bookmarkStart w:id="0" w:name="a000"/>
      <w:r>
        <w:rPr>
          <w:rFonts w:ascii="仿宋_GB2312" w:hAnsi="仿宋_GB2312" w:eastAsia="仿宋_GB2312" w:cs="仿宋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hint="eastAsia" w:ascii="黑体" w:hAnsi="黑体" w:eastAsia="黑体" w:cs="黑体"/>
          <w:kern w:val="0"/>
          <w:sz w:val="32"/>
          <w:szCs w:val="32"/>
        </w:rPr>
      </w:pPr>
      <w:r>
        <w:rPr>
          <w:rFonts w:hint="eastAsia" w:ascii="黑体" w:hAnsi="黑体" w:eastAsia="黑体" w:cs="黑体"/>
          <w:kern w:val="0"/>
          <w:sz w:val="32"/>
          <w:szCs w:val="32"/>
        </w:rPr>
        <w:t>第一部分 单位概况</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一、主要职能、职责</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二、单位机构设置及决算单位构成情况</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三、2024年度单位主要工作完成情况</w:t>
      </w:r>
    </w:p>
    <w:p>
      <w:pPr>
        <w:widowControl/>
        <w:spacing w:before="240" w:after="240"/>
        <w:jc w:val="left"/>
        <w:rPr>
          <w:rFonts w:hint="eastAsia" w:ascii="黑体" w:hAnsi="黑体" w:eastAsia="黑体" w:cs="黑体"/>
          <w:kern w:val="0"/>
          <w:sz w:val="32"/>
          <w:szCs w:val="32"/>
        </w:rPr>
      </w:pPr>
      <w:r>
        <w:rPr>
          <w:rFonts w:hint="eastAsia" w:ascii="黑体" w:hAnsi="黑体" w:eastAsia="黑体" w:cs="黑体"/>
          <w:kern w:val="0"/>
          <w:sz w:val="32"/>
          <w:szCs w:val="32"/>
        </w:rPr>
        <w:t>第二部分 单位决算情况说明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一、收入支出决算总体情况说明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二、收入决算情况说明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四、财政拨款收入支出决算总体情况说明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五、一般公共预算财政拨款支出决算情况说明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六、一般公共预算财政拨款基本支出决算情况说明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七、一般公共预算财政拨款项目支出决算情况说明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八、财政拨款“三公”经费支出决算情况说明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九、政府性基金预算财政拨款支出决算情况说明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十、国有资本经营预算财政拨款支出决算情况说明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十一、机关运行经费（公用经费）支出决算情况说明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十二、政府采购支出决算情况说明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十三、国有资产占用情况说明</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十四、预算绩效情况说明</w:t>
      </w:r>
    </w:p>
    <w:p>
      <w:pPr>
        <w:widowControl/>
        <w:spacing w:before="240" w:after="240"/>
        <w:jc w:val="left"/>
        <w:rPr>
          <w:rFonts w:hint="eastAsia" w:ascii="黑体" w:hAnsi="黑体" w:eastAsia="黑体" w:cs="黑体"/>
          <w:kern w:val="0"/>
          <w:sz w:val="32"/>
          <w:szCs w:val="32"/>
        </w:rPr>
      </w:pPr>
      <w:r>
        <w:rPr>
          <w:rFonts w:hint="eastAsia" w:ascii="黑体" w:hAnsi="黑体" w:eastAsia="黑体" w:cs="黑体"/>
          <w:kern w:val="0"/>
          <w:sz w:val="32"/>
          <w:szCs w:val="32"/>
        </w:rPr>
        <w:t>第三部分 名词解释</w:t>
      </w:r>
    </w:p>
    <w:p>
      <w:pPr>
        <w:widowControl/>
        <w:spacing w:before="240" w:after="240"/>
        <w:jc w:val="left"/>
        <w:rPr>
          <w:rFonts w:hint="eastAsia" w:ascii="黑体" w:hAnsi="黑体" w:eastAsia="黑体" w:cs="黑体"/>
          <w:kern w:val="0"/>
          <w:sz w:val="32"/>
          <w:szCs w:val="32"/>
        </w:rPr>
      </w:pPr>
      <w:r>
        <w:rPr>
          <w:rFonts w:hint="eastAsia" w:ascii="黑体" w:hAnsi="黑体" w:eastAsia="黑体" w:cs="黑体"/>
          <w:kern w:val="0"/>
          <w:sz w:val="32"/>
          <w:szCs w:val="32"/>
        </w:rPr>
        <w:t>第四部分 决算公开联系方式及信息反馈渠道</w:t>
      </w:r>
    </w:p>
    <w:p>
      <w:pPr>
        <w:widowControl/>
        <w:spacing w:before="240" w:after="240"/>
        <w:jc w:val="left"/>
        <w:rPr>
          <w:rFonts w:hint="eastAsia" w:ascii="黑体" w:hAnsi="黑体" w:eastAsia="黑体" w:cs="黑体"/>
          <w:kern w:val="0"/>
          <w:sz w:val="32"/>
          <w:szCs w:val="32"/>
        </w:rPr>
      </w:pPr>
      <w:r>
        <w:rPr>
          <w:rFonts w:hint="eastAsia" w:ascii="黑体" w:hAnsi="黑体" w:eastAsia="黑体" w:cs="黑体"/>
          <w:kern w:val="0"/>
          <w:sz w:val="32"/>
          <w:szCs w:val="32"/>
        </w:rPr>
        <w:t>第五部分 单位决算表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一、收入支出决算总表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二、收入决算表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四、财政拨款收入支出决算总表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五、一般公共预算财政拨款支出决算表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六、一般公共预算财政拨款基本支出决算明细表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七、一般公共预算财政拨款项目支出决算明细表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八、政府性基金预算财政拨款收入支出决算表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九、国有资本经营预算财政拨款收入支出决算表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十、财政拨款“三公”经费支出决算表</w:t>
      </w:r>
    </w:p>
    <w:p>
      <w:pPr>
        <w:widowControl/>
        <w:spacing w:before="240" w:after="2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十一、机关运行经费支出、国有资产占用情况及政府采购支出信息表</w:t>
      </w:r>
    </w:p>
    <w:p>
      <w:pPr>
        <w:widowControl/>
        <w:spacing w:before="240" w:after="240"/>
        <w:rPr>
          <w:rFonts w:hint="eastAsia" w:ascii="仿宋_GB2312" w:hAnsi="仿宋_GB2312" w:eastAsia="仿宋_GB2312" w:cs="仿宋_GB2312"/>
          <w:kern w:val="0"/>
          <w:sz w:val="32"/>
          <w:szCs w:val="32"/>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pStyle w:val="3"/>
        <w:keepNext w:val="0"/>
        <w:keepLines w:val="0"/>
        <w:widowControl/>
        <w:numPr>
          <w:ilvl w:val="0"/>
          <w:numId w:val="1"/>
        </w:numPr>
        <w:spacing w:before="299" w:after="299" w:line="240" w:lineRule="auto"/>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单位概况</w:t>
      </w:r>
    </w:p>
    <w:p>
      <w:pPr>
        <w:numPr>
          <w:ilvl w:val="0"/>
          <w:numId w:val="0"/>
        </w:numPr>
        <w:rPr>
          <w:rFonts w:hint="eastAsia"/>
        </w:rPr>
      </w:pPr>
    </w:p>
    <w:p>
      <w:pPr>
        <w:keepNext w:val="0"/>
        <w:keepLines w:val="0"/>
        <w:pageBreakBefore w:val="0"/>
        <w:widowControl/>
        <w:kinsoku/>
        <w:wordWrap/>
        <w:overflowPunct/>
        <w:topLinePunct w:val="0"/>
        <w:autoSpaceDE/>
        <w:autoSpaceDN/>
        <w:bidi w:val="0"/>
        <w:adjustRightInd/>
        <w:spacing w:before="240" w:after="240"/>
        <w:ind w:firstLine="640" w:firstLineChars="200"/>
        <w:jc w:val="left"/>
        <w:textAlignment w:val="auto"/>
        <w:rPr>
          <w:rFonts w:ascii="Times New Roman" w:hAnsi="Times New Roman" w:eastAsia="Times New Roman" w:cs="Times New Roman"/>
          <w:kern w:val="0"/>
          <w:sz w:val="32"/>
          <w:szCs w:val="32"/>
        </w:rPr>
      </w:pPr>
      <w:r>
        <w:rPr>
          <w:rFonts w:ascii="Calibri" w:hAnsi="Calibri" w:eastAsia="Calibri" w:cs="Calibri"/>
          <w:b/>
          <w:bCs/>
          <w:kern w:val="0"/>
          <w:sz w:val="32"/>
          <w:szCs w:val="32"/>
        </w:rPr>
        <w:t> </w:t>
      </w:r>
      <w:r>
        <w:rPr>
          <w:rFonts w:ascii="黑体" w:hAnsi="黑体" w:eastAsia="黑体" w:cs="黑体"/>
          <w:b/>
          <w:bCs/>
          <w:kern w:val="0"/>
          <w:sz w:val="32"/>
          <w:szCs w:val="32"/>
        </w:rPr>
        <w:t>一、主要职能、职责</w:t>
      </w:r>
    </w:p>
    <w:p>
      <w:pPr>
        <w:keepNext w:val="0"/>
        <w:keepLines w:val="0"/>
        <w:pageBreakBefore w:val="0"/>
        <w:widowControl w:val="0"/>
        <w:kinsoku/>
        <w:wordWrap/>
        <w:overflowPunct/>
        <w:topLinePunct w:val="0"/>
        <w:autoSpaceDE/>
        <w:autoSpaceDN/>
        <w:bidi w:val="0"/>
        <w:adjustRightInd/>
        <w:snapToGrid w:val="0"/>
        <w:spacing w:line="360" w:lineRule="auto"/>
        <w:ind w:firstLine="540" w:firstLineChars="200"/>
        <w:textAlignment w:val="auto"/>
        <w:rPr>
          <w:rFonts w:ascii="Times New Roman" w:hAnsi="Times New Roman" w:eastAsia="Times New Roman" w:cs="Times New Roman"/>
          <w:kern w:val="0"/>
          <w:sz w:val="24"/>
        </w:rPr>
      </w:pPr>
      <w:r>
        <w:rPr>
          <w:rFonts w:ascii="仿宋_GB2312" w:hAnsi="仿宋_GB2312" w:eastAsia="仿宋_GB2312" w:cs="仿宋_GB2312"/>
          <w:color w:val="0E00FE"/>
          <w:kern w:val="0"/>
          <w:sz w:val="27"/>
          <w:szCs w:val="27"/>
        </w:rPr>
        <w:t> </w:t>
      </w:r>
      <w:r>
        <w:rPr>
          <w:rFonts w:hint="eastAsia" w:ascii="仿宋_GB2312" w:hAnsi="仿宋_GB2312" w:eastAsia="仿宋_GB2312" w:cs="仿宋_GB2312"/>
          <w:sz w:val="30"/>
          <w:szCs w:val="30"/>
        </w:rPr>
        <w:t xml:space="preserve">乌海市土地收购储备心隶属于乌海市自然资源局所属相当正科级公益一类事业单位（参照公务员法管理事业单位）。贯彻落实国家、自治区关于《土地管理法》的法律法规和有关政策、规划；组织编制土地储备规划和年度计划；按照有关政策规定筹集和使用土地储备资金；对列入储备范围内的土地依法征收，并对地上建筑物、构筑物实施拆迁，进行前期开发。 </w:t>
      </w:r>
      <w:r>
        <w:rPr>
          <w:rFonts w:hint="eastAsia" w:hAnsi="宋体"/>
          <w:sz w:val="30"/>
          <w:szCs w:val="30"/>
        </w:rPr>
        <w:t xml:space="preserve"> </w:t>
      </w:r>
    </w:p>
    <w:p>
      <w:pPr>
        <w:keepNext w:val="0"/>
        <w:keepLines w:val="0"/>
        <w:pageBreakBefore w:val="0"/>
        <w:widowControl/>
        <w:kinsoku/>
        <w:wordWrap/>
        <w:overflowPunct/>
        <w:topLinePunct w:val="0"/>
        <w:autoSpaceDE/>
        <w:autoSpaceDN/>
        <w:bidi w:val="0"/>
        <w:adjustRightInd/>
        <w:spacing w:before="240" w:after="240"/>
        <w:ind w:firstLine="643" w:firstLineChars="200"/>
        <w:jc w:val="left"/>
        <w:textAlignment w:val="auto"/>
        <w:rPr>
          <w:rFonts w:hint="eastAsia" w:ascii="黑体" w:hAnsi="黑体" w:eastAsia="黑体" w:cs="黑体"/>
          <w:b/>
          <w:bCs/>
          <w:kern w:val="0"/>
          <w:sz w:val="32"/>
          <w:szCs w:val="32"/>
        </w:rPr>
      </w:pPr>
      <w:r>
        <w:rPr>
          <w:rFonts w:hint="eastAsia" w:ascii="黑体" w:hAnsi="黑体" w:eastAsia="黑体" w:cs="黑体"/>
          <w:b/>
          <w:bCs/>
          <w:kern w:val="0"/>
          <w:sz w:val="32"/>
          <w:szCs w:val="32"/>
        </w:rPr>
        <w:t>二、单位机构设置及决算单位构成情况</w:t>
      </w:r>
    </w:p>
    <w:p>
      <w:pPr>
        <w:keepNext w:val="0"/>
        <w:keepLines w:val="0"/>
        <w:pageBreakBefore w:val="0"/>
        <w:kinsoku/>
        <w:wordWrap/>
        <w:overflowPunct/>
        <w:topLinePunct w:val="0"/>
        <w:autoSpaceDE/>
        <w:autoSpaceDN/>
        <w:bidi w:val="0"/>
        <w:adjustRightInd/>
        <w:snapToGrid w:val="0"/>
        <w:spacing w:line="560" w:lineRule="exact"/>
        <w:ind w:firstLine="540" w:firstLineChars="200"/>
        <w:textAlignment w:val="auto"/>
        <w:rPr>
          <w:rFonts w:hint="eastAsia" w:ascii="仿宋_GB2312" w:hAnsi="仿宋_GB2312" w:eastAsia="仿宋_GB2312" w:cs="仿宋_GB2312"/>
          <w:sz w:val="30"/>
          <w:szCs w:val="30"/>
        </w:rPr>
      </w:pPr>
      <w:r>
        <w:rPr>
          <w:rFonts w:ascii="times_new_roman" w:hAnsi="times_new_roman" w:eastAsia="times_new_roman" w:cs="times_new_roman"/>
          <w:kern w:val="0"/>
          <w:sz w:val="27"/>
          <w:szCs w:val="27"/>
        </w:rPr>
        <w:t>  </w:t>
      </w:r>
      <w:r>
        <w:rPr>
          <w:rFonts w:hint="eastAsia" w:ascii="仿宋_GB2312" w:hAnsi="仿宋_GB2312" w:eastAsia="仿宋_GB2312" w:cs="仿宋_GB2312"/>
          <w:sz w:val="30"/>
          <w:szCs w:val="30"/>
        </w:rPr>
        <w:t>1. 根据单位职责分工，本单位内设机构包括办公室、财务处。 本单位无下属单位。</w:t>
      </w:r>
    </w:p>
    <w:p>
      <w:pPr>
        <w:keepNext w:val="0"/>
        <w:keepLines w:val="0"/>
        <w:pageBreakBefore w:val="0"/>
        <w:kinsoku/>
        <w:wordWrap/>
        <w:overflowPunct/>
        <w:topLinePunct w:val="0"/>
        <w:autoSpaceDE/>
        <w:autoSpaceDN/>
        <w:bidi w:val="0"/>
        <w:adjustRightInd/>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 从决算单位构成看，纳入本单位 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年部门汇总决算编制范围的预算单位共计1家， 具体包括：乌海市土地收购储备中心。详细情况见表：</w:t>
      </w:r>
    </w:p>
    <w:tbl>
      <w:tblPr>
        <w:tblStyle w:val="19"/>
        <w:tblW w:w="99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9"/>
        <w:gridCol w:w="4107"/>
        <w:gridCol w:w="46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73" w:hRule="atLeast"/>
        </w:trPr>
        <w:tc>
          <w:tcPr>
            <w:tcW w:w="1139" w:type="dxa"/>
          </w:tcPr>
          <w:p>
            <w:pPr>
              <w:spacing w:before="215" w:line="221" w:lineRule="auto"/>
              <w:ind w:left="395"/>
              <w:jc w:val="both"/>
              <w:rPr>
                <w:rFonts w:ascii="仿宋" w:hAnsi="仿宋" w:eastAsia="仿宋" w:cs="仿宋"/>
                <w:spacing w:val="-2"/>
                <w:sz w:val="31"/>
                <w:szCs w:val="31"/>
              </w:rPr>
            </w:pPr>
            <w:r>
              <w:rPr>
                <w:rFonts w:hint="eastAsia" w:ascii="仿宋" w:hAnsi="仿宋" w:eastAsia="仿宋" w:cs="仿宋"/>
                <w:spacing w:val="-2"/>
                <w:sz w:val="31"/>
                <w:szCs w:val="31"/>
              </w:rPr>
              <w:t>序号</w:t>
            </w:r>
          </w:p>
        </w:tc>
        <w:tc>
          <w:tcPr>
            <w:tcW w:w="4107" w:type="dxa"/>
          </w:tcPr>
          <w:p>
            <w:pPr>
              <w:spacing w:before="216" w:line="220" w:lineRule="auto"/>
              <w:ind w:firstLine="1530" w:firstLineChars="500"/>
              <w:jc w:val="both"/>
              <w:rPr>
                <w:rFonts w:ascii="仿宋" w:hAnsi="仿宋" w:eastAsia="仿宋" w:cs="仿宋"/>
                <w:spacing w:val="-2"/>
                <w:sz w:val="31"/>
                <w:szCs w:val="31"/>
              </w:rPr>
            </w:pPr>
            <w:r>
              <w:rPr>
                <w:rFonts w:hint="eastAsia" w:ascii="仿宋" w:hAnsi="仿宋" w:eastAsia="仿宋" w:cs="仿宋"/>
                <w:spacing w:val="-2"/>
                <w:sz w:val="31"/>
                <w:szCs w:val="31"/>
              </w:rPr>
              <w:t>单位名称</w:t>
            </w:r>
          </w:p>
        </w:tc>
        <w:tc>
          <w:tcPr>
            <w:tcW w:w="4684" w:type="dxa"/>
          </w:tcPr>
          <w:p>
            <w:pPr>
              <w:spacing w:before="216" w:line="220" w:lineRule="auto"/>
              <w:ind w:left="1229" w:firstLine="612" w:firstLineChars="200"/>
              <w:jc w:val="both"/>
              <w:rPr>
                <w:rFonts w:ascii="仿宋" w:hAnsi="仿宋" w:eastAsia="仿宋" w:cs="仿宋"/>
                <w:spacing w:val="-2"/>
                <w:sz w:val="31"/>
                <w:szCs w:val="31"/>
              </w:rPr>
            </w:pPr>
            <w:r>
              <w:rPr>
                <w:rFonts w:hint="eastAsia" w:ascii="仿宋" w:hAnsi="仿宋" w:eastAsia="仿宋" w:cs="仿宋"/>
                <w:spacing w:val="-2"/>
                <w:sz w:val="31"/>
                <w:szCs w:val="31"/>
              </w:rPr>
              <w:t>单位性质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49" w:hRule="atLeast"/>
        </w:trPr>
        <w:tc>
          <w:tcPr>
            <w:tcW w:w="1139" w:type="dxa"/>
            <w:vAlign w:val="center"/>
          </w:tcPr>
          <w:p>
            <w:pPr>
              <w:spacing w:before="73" w:line="185" w:lineRule="auto"/>
              <w:ind w:left="533"/>
              <w:jc w:val="center"/>
              <w:rPr>
                <w:rFonts w:ascii="仿宋" w:hAnsi="仿宋" w:eastAsia="仿宋" w:cs="仿宋"/>
                <w:spacing w:val="-2"/>
                <w:szCs w:val="31"/>
              </w:rPr>
            </w:pPr>
            <w:r>
              <w:rPr>
                <w:rFonts w:ascii="仿宋" w:hAnsi="仿宋" w:eastAsia="仿宋" w:cs="仿宋"/>
                <w:spacing w:val="-2"/>
                <w:szCs w:val="31"/>
              </w:rPr>
              <w:t>1</w:t>
            </w:r>
          </w:p>
        </w:tc>
        <w:tc>
          <w:tcPr>
            <w:tcW w:w="4107" w:type="dxa"/>
            <w:vAlign w:val="center"/>
          </w:tcPr>
          <w:p>
            <w:pPr>
              <w:spacing w:before="35" w:line="216" w:lineRule="auto"/>
              <w:ind w:left="142"/>
              <w:jc w:val="center"/>
              <w:rPr>
                <w:rFonts w:hint="eastAsia"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乌海市土地收购储备中心</w:t>
            </w:r>
          </w:p>
        </w:tc>
        <w:tc>
          <w:tcPr>
            <w:tcW w:w="4684" w:type="dxa"/>
            <w:vAlign w:val="center"/>
          </w:tcPr>
          <w:p>
            <w:pPr>
              <w:spacing w:before="35" w:line="216" w:lineRule="auto"/>
              <w:jc w:val="center"/>
              <w:rPr>
                <w:rFonts w:hint="eastAsia"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参照公务员法管理的事业单位</w:t>
            </w:r>
          </w:p>
        </w:tc>
      </w:tr>
    </w:tbl>
    <w:p>
      <w:pPr>
        <w:widowControl/>
        <w:spacing w:before="240" w:after="240"/>
        <w:jc w:val="left"/>
        <w:rPr>
          <w:rFonts w:hint="eastAsia" w:ascii="黑体" w:hAnsi="黑体" w:eastAsia="黑体" w:cs="黑体"/>
          <w:b/>
          <w:bCs/>
          <w:kern w:val="0"/>
          <w:sz w:val="32"/>
          <w:szCs w:val="32"/>
        </w:rPr>
      </w:pPr>
      <w:r>
        <w:rPr>
          <w:rFonts w:hint="eastAsia" w:ascii="黑体" w:hAnsi="黑体" w:eastAsia="黑体" w:cs="黑体"/>
          <w:b/>
          <w:bCs/>
          <w:kern w:val="0"/>
          <w:sz w:val="32"/>
          <w:szCs w:val="32"/>
        </w:rPr>
        <w:t>    三、2024年度单位主要工作完成情况</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（一）信访工作</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color w:val="000000" w:themeColor="text1"/>
          <w:sz w:val="30"/>
          <w:szCs w:val="30"/>
          <w:u w:val="single"/>
        </w:rPr>
      </w:pPr>
      <w:r>
        <w:rPr>
          <w:rFonts w:hint="eastAsia" w:ascii="仿宋_GB2312" w:hAnsi="仿宋_GB2312" w:eastAsia="仿宋_GB2312" w:cs="仿宋_GB2312"/>
          <w:sz w:val="30"/>
          <w:szCs w:val="30"/>
        </w:rPr>
        <w:t>1.对我中心承担的信访案件逐个进行研判，对每一户信访人制作并完善了信访台账，完成接访、政策解读、答复等相关工作。我单位现有重点信访人员17人，其中中联办督办重复信访事项人员有李锁连、杨萍、郭长牛、谢粉翠4人；自治区联席办交办重复信访事项人员有王世军、张艳、郭海燕3人；自治区信访系统反馈人员有高爱芳、张飞荣、史侯翠、刘裕平、周拴拴、郭玉荣、冯树民、付增顺、李步清、高巧娥10人。</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2.全国两会、国庆期间等重要节点派人赴京进行信访维稳值班。</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（二）储备土地临时用地租赁工作</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办理了中铁十局、中铁二十局临时用地租赁工作。</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1.向中铁十局集团济南分公司出租土地一宗，用于包银高铁建设。该宗地位于新建铁路DK372+700～DK404+599.7处线路右侧，地处于原君正化工厂北侧 ，面积为2.0256公顷，租用期限为2024年3月28日至2025年3月28日。</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2.向中铁二十局集团有限公司包银高铁工程项目经理部出租土地一宗，用于包银高铁建设。该宗地位于新建铁路DK365+200处线路右侧，地处于中合源社区，面积为34.26亩，租赁期限为2024年4月26日至2025年4月26日。</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（三）办公楼消防设施整改工作</w:t>
      </w:r>
    </w:p>
    <w:p>
      <w:pPr>
        <w:pStyle w:val="8"/>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2024年2月20日，市住房和城乡建设局开始对《乌海市土地收购储备中心办公楼消防整改项目可行性研究报告》和《初步设计方案》进行审核；4月15日，市住房和城乡建设局反馈修改意见，我中心联系禾泽都林设计集团有限公司对《可行性研究报告》和《初步设计方案》进行修改，4月24日，《方案》修改完成后上报市住房和城乡建设。5月24日，将《关于拨付市土地收购储备中心办公楼消防整改项目资金的请示》报送至市政府。待资金到位后由林草建设中心负责具体实施。</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（四）包银高铁项目海勃湾段占地事宜</w:t>
      </w:r>
    </w:p>
    <w:p>
      <w:pPr>
        <w:keepNext w:val="0"/>
        <w:keepLines w:val="0"/>
        <w:pageBreakBefore w:val="0"/>
        <w:kinsoku/>
        <w:wordWrap/>
        <w:overflowPunct/>
        <w:topLinePunct w:val="0"/>
        <w:autoSpaceDE/>
        <w:autoSpaceDN/>
        <w:bidi w:val="0"/>
        <w:adjustRightInd w:val="0"/>
        <w:snapToGrid w:val="0"/>
        <w:spacing w:line="560" w:lineRule="exact"/>
        <w:ind w:firstLine="600" w:firstLineChars="200"/>
        <w:textAlignment w:val="auto"/>
        <w:rPr>
          <w:rFonts w:hint="eastAsia" w:ascii="仿宋_GB2312" w:hAnsi="仿宋_GB2312" w:eastAsia="仿宋_GB2312" w:cs="仿宋_GB2312"/>
          <w:kern w:val="0"/>
          <w:sz w:val="30"/>
          <w:szCs w:val="30"/>
        </w:rPr>
      </w:pPr>
      <w:r>
        <w:rPr>
          <w:rFonts w:hint="eastAsia" w:ascii="仿宋_GB2312" w:hAnsi="仿宋_GB2312" w:eastAsia="仿宋_GB2312" w:cs="仿宋_GB2312"/>
          <w:sz w:val="30"/>
          <w:szCs w:val="30"/>
        </w:rPr>
        <w:t>包银高铁项目海勃湾段建设须占用市土储中心已征收土地三处合计100.89亩，需按照海勃湾区人民政府专题会议纪要〔2020〕66号文件相关要求进行补偿。我中心已向市局提交《关于包银高铁占用市土储中心已征收土地并进行补偿的请示》，市局已请示市政府要求海勃湾区政府向市政府提交请示上报。</w:t>
      </w:r>
    </w:p>
    <w:p>
      <w:pPr>
        <w:pStyle w:val="3"/>
        <w:keepNext w:val="0"/>
        <w:keepLines w:val="0"/>
        <w:widowControl/>
        <w:numPr>
          <w:ilvl w:val="0"/>
          <w:numId w:val="2"/>
        </w:numPr>
        <w:spacing w:before="299" w:after="299" w:line="240" w:lineRule="auto"/>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单位决算情况说明</w:t>
      </w:r>
    </w:p>
    <w:p>
      <w:pPr>
        <w:numPr>
          <w:ilvl w:val="0"/>
          <w:numId w:val="0"/>
        </w:numPr>
        <w:rPr>
          <w:rFonts w:hint="eastAsia"/>
        </w:rPr>
      </w:pPr>
    </w:p>
    <w:p>
      <w:pPr>
        <w:widowControl/>
        <w:spacing w:before="240" w:after="240"/>
        <w:jc w:val="left"/>
        <w:rPr>
          <w:rFonts w:hint="eastAsia" w:ascii="黑体" w:hAnsi="黑体" w:eastAsia="黑体" w:cs="黑体"/>
          <w:kern w:val="0"/>
          <w:sz w:val="32"/>
          <w:szCs w:val="32"/>
        </w:rPr>
      </w:pPr>
      <w:r>
        <w:rPr>
          <w:rFonts w:hint="eastAsia" w:ascii="黑体" w:hAnsi="黑体" w:eastAsia="黑体" w:cs="黑体"/>
          <w:b/>
          <w:bCs/>
          <w:kern w:val="0"/>
          <w:sz w:val="32"/>
          <w:szCs w:val="32"/>
        </w:rPr>
        <w:t>    一、收入支出决算总体情况说明</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kern w:val="0"/>
          <w:sz w:val="27"/>
          <w:szCs w:val="27"/>
        </w:rPr>
        <w:t>   </w:t>
      </w:r>
      <w:r>
        <w:rPr>
          <w:rFonts w:ascii="仿宋_GB2312" w:hAnsi="仿宋_GB2312" w:eastAsia="仿宋_GB2312" w:cs="仿宋_GB2312"/>
          <w:color w:val="000000"/>
          <w:kern w:val="0"/>
          <w:sz w:val="27"/>
          <w:szCs w:val="27"/>
        </w:rPr>
        <w:t> </w:t>
      </w:r>
      <w:r>
        <w:rPr>
          <w:rFonts w:hint="eastAsia" w:ascii="仿宋_GB2312" w:hAnsi="仿宋_GB2312" w:eastAsia="仿宋_GB2312" w:cs="仿宋_GB2312"/>
          <w:sz w:val="30"/>
          <w:szCs w:val="30"/>
        </w:rPr>
        <w:t>乌海市土地收购储备中心 2024年度收入、支出决算总计均为 155.79万元。与年初预算相比，收、支总计各增加 42.01万元，增长 36.92%，变动原因</w:t>
      </w:r>
      <w:r>
        <w:rPr>
          <w:rFonts w:hint="eastAsia" w:ascii="仿宋_GB2312" w:hAnsi="仿宋_GB2312" w:eastAsia="仿宋_GB2312" w:cs="仿宋_GB2312"/>
          <w:sz w:val="30"/>
          <w:szCs w:val="30"/>
          <w:lang w:eastAsia="zh-CN"/>
        </w:rPr>
        <w:t>：年中追加项目资金及使用我单位自有资金</w:t>
      </w:r>
      <w:r>
        <w:rPr>
          <w:rFonts w:hint="eastAsia" w:ascii="仿宋_GB2312" w:hAnsi="仿宋_GB2312" w:eastAsia="仿宋_GB2312" w:cs="仿宋_GB2312"/>
          <w:sz w:val="30"/>
          <w:szCs w:val="30"/>
        </w:rPr>
        <w:t>；与上年决算相比，收、支总计各增加 26.85万元，增长 20.82%。其中：</w:t>
      </w:r>
    </w:p>
    <w:p>
      <w:pPr>
        <w:widowControl/>
        <w:spacing w:before="240" w:after="240"/>
        <w:jc w:val="left"/>
        <w:rPr>
          <w:rFonts w:hint="eastAsia" w:ascii="仿宋_GB2312" w:hAnsi="仿宋_GB2312" w:eastAsia="仿宋_GB2312" w:cs="仿宋_GB2312"/>
          <w:kern w:val="0"/>
          <w:sz w:val="30"/>
          <w:szCs w:val="30"/>
          <w:u w:val="none" w:color="auto"/>
        </w:rPr>
      </w:pPr>
      <w:r>
        <w:rPr>
          <w:rFonts w:ascii="kai_ti_gb2312" w:hAnsi="kai_ti_gb2312" w:eastAsia="kai_ti_gb2312" w:cs="kai_ti_gb2312"/>
          <w:b/>
          <w:bCs/>
          <w:color w:val="000000"/>
          <w:kern w:val="0"/>
          <w:sz w:val="27"/>
          <w:szCs w:val="27"/>
        </w:rPr>
        <w:t xml:space="preserve">    </w:t>
      </w:r>
      <w:r>
        <w:rPr>
          <w:rFonts w:hint="eastAsia" w:ascii="仿宋_GB2312" w:hAnsi="仿宋_GB2312" w:eastAsia="仿宋_GB2312" w:cs="仿宋_GB2312"/>
          <w:b/>
          <w:bCs/>
          <w:color w:val="000000"/>
          <w:kern w:val="0"/>
          <w:sz w:val="30"/>
          <w:szCs w:val="30"/>
          <w:u w:val="none" w:color="auto"/>
        </w:rPr>
        <w:t>（一）收入决算总计 155.79万元。包括：</w:t>
      </w:r>
    </w:p>
    <w:p>
      <w:pPr>
        <w:adjustRightInd w:val="0"/>
        <w:snapToGrid w:val="0"/>
        <w:spacing w:line="560" w:lineRule="exact"/>
        <w:ind w:firstLine="540" w:firstLineChars="20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1.本年收入决算合计 148.44万元。与上年决算相比，增加 34.41万元，增长 30.18%，变动原因：</w:t>
      </w:r>
      <w:r>
        <w:rPr>
          <w:rFonts w:hint="eastAsia" w:ascii="仿宋_GB2312" w:hAnsi="仿宋_GB2312" w:eastAsia="仿宋_GB2312" w:cs="仿宋_GB2312"/>
          <w:sz w:val="30"/>
          <w:szCs w:val="30"/>
          <w:lang w:eastAsia="zh-CN"/>
        </w:rPr>
        <w:t>年中追加项目资金及单位人员增加，人员公用经费增加</w:t>
      </w:r>
      <w:r>
        <w:rPr>
          <w:rFonts w:hint="eastAsia" w:ascii="仿宋_GB2312" w:hAnsi="仿宋_GB2312" w:eastAsia="仿宋_GB2312" w:cs="仿宋_GB2312"/>
          <w:sz w:val="30"/>
          <w:szCs w:val="30"/>
        </w:rPr>
        <w:t>。</w:t>
      </w:r>
    </w:p>
    <w:p>
      <w:pPr>
        <w:adjustRightInd w:val="0"/>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2.使用非财政拨款结余（含专用结余） 0万元。与上年决算相比，增加 0万元，增长 0%，变动原因：</w:t>
      </w:r>
      <w:r>
        <w:rPr>
          <w:rFonts w:hint="eastAsia" w:ascii="仿宋_GB2312" w:hAnsi="仿宋_GB2312" w:eastAsia="仿宋_GB2312" w:cs="仿宋_GB2312"/>
          <w:sz w:val="30"/>
          <w:szCs w:val="30"/>
          <w:lang w:eastAsia="zh-CN"/>
        </w:rPr>
        <w:t>不存在此项内容</w:t>
      </w:r>
      <w:r>
        <w:rPr>
          <w:rFonts w:hint="eastAsia" w:ascii="仿宋_GB2312" w:hAnsi="仿宋_GB2312" w:eastAsia="仿宋_GB2312" w:cs="仿宋_GB2312"/>
          <w:sz w:val="30"/>
          <w:szCs w:val="30"/>
        </w:rPr>
        <w:t>。</w:t>
      </w:r>
    </w:p>
    <w:p>
      <w:pPr>
        <w:adjustRightInd w:val="0"/>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3.年初结转和结余 7.36万元。与上年决算相比，减少7.56万元，下降50.69%，变动原因：我单位自有资金用于滨河二期项目遗留问题信访工作差旅费。</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color w:val="000000"/>
          <w:kern w:val="0"/>
          <w:sz w:val="27"/>
          <w:szCs w:val="27"/>
        </w:rPr>
        <w:t xml:space="preserve">  </w:t>
      </w:r>
      <w:r>
        <w:rPr>
          <w:rFonts w:hint="eastAsia" w:ascii="仿宋_GB2312" w:hAnsi="仿宋_GB2312" w:eastAsia="仿宋_GB2312" w:cs="仿宋_GB2312"/>
          <w:b/>
          <w:bCs/>
          <w:color w:val="000000"/>
          <w:kern w:val="0"/>
          <w:sz w:val="30"/>
          <w:szCs w:val="30"/>
          <w:u w:val="none" w:color="auto"/>
        </w:rPr>
        <w:t>  （二）支出决算总计 155.79万元。包括：</w:t>
      </w:r>
    </w:p>
    <w:p>
      <w:pPr>
        <w:adjustRightInd w:val="0"/>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1.本年支出决算合计 153.25万元。与上年决算相比，增加 31.50万元，增长 25.87%，变动原因：</w:t>
      </w:r>
      <w:r>
        <w:rPr>
          <w:rFonts w:hint="eastAsia" w:ascii="仿宋_GB2312" w:hAnsi="仿宋_GB2312" w:eastAsia="仿宋_GB2312" w:cs="仿宋_GB2312"/>
          <w:sz w:val="30"/>
          <w:szCs w:val="30"/>
          <w:lang w:eastAsia="zh-CN"/>
        </w:rPr>
        <w:t>新增专项资金及使用我单位自有资金</w:t>
      </w:r>
      <w:r>
        <w:rPr>
          <w:rFonts w:hint="eastAsia" w:ascii="仿宋_GB2312" w:hAnsi="仿宋_GB2312" w:eastAsia="仿宋_GB2312" w:cs="仿宋_GB2312"/>
          <w:sz w:val="30"/>
          <w:szCs w:val="30"/>
        </w:rPr>
        <w:t>。</w:t>
      </w:r>
    </w:p>
    <w:p>
      <w:pPr>
        <w:adjustRightInd w:val="0"/>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2.结余分配 0万元。结余分配事项：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。与上年决算相比，增加 0万元，增长 0%，变动原因：</w:t>
      </w:r>
      <w:r>
        <w:rPr>
          <w:rFonts w:hint="eastAsia" w:ascii="仿宋_GB2312" w:hAnsi="仿宋_GB2312" w:eastAsia="仿宋_GB2312" w:cs="仿宋_GB2312"/>
          <w:sz w:val="30"/>
          <w:szCs w:val="30"/>
          <w:lang w:eastAsia="zh-CN"/>
        </w:rPr>
        <w:t>不存在此项内容</w:t>
      </w:r>
      <w:r>
        <w:rPr>
          <w:rFonts w:hint="eastAsia" w:ascii="仿宋_GB2312" w:hAnsi="仿宋_GB2312" w:eastAsia="仿宋_GB2312" w:cs="仿宋_GB2312"/>
          <w:sz w:val="30"/>
          <w:szCs w:val="30"/>
        </w:rPr>
        <w:t>。</w:t>
      </w:r>
    </w:p>
    <w:p>
      <w:pPr>
        <w:adjustRightInd w:val="0"/>
        <w:snapToGrid w:val="0"/>
        <w:spacing w:line="560" w:lineRule="exact"/>
        <w:ind w:firstLine="600" w:firstLineChars="200"/>
        <w:rPr>
          <w:rFonts w:ascii="Times New Roman" w:hAnsi="Times New Roman" w:eastAsia="Times New Roman" w:cs="Times New Roman"/>
          <w:kern w:val="0"/>
          <w:sz w:val="24"/>
        </w:rPr>
      </w:pPr>
      <w:r>
        <w:rPr>
          <w:rFonts w:hint="eastAsia" w:ascii="仿宋_GB2312" w:hAnsi="仿宋_GB2312" w:eastAsia="仿宋_GB2312" w:cs="仿宋_GB2312"/>
          <w:sz w:val="30"/>
          <w:szCs w:val="30"/>
        </w:rPr>
        <w:t>3.年末结转和结余 2.54万元。结转和结余事项：</w:t>
      </w:r>
      <w:r>
        <w:rPr>
          <w:rFonts w:hint="eastAsia" w:ascii="仿宋_GB2312" w:hAnsi="仿宋_GB2312" w:eastAsia="仿宋_GB2312" w:cs="仿宋_GB2312"/>
          <w:sz w:val="30"/>
          <w:szCs w:val="30"/>
          <w:lang w:eastAsia="zh-CN"/>
        </w:rPr>
        <w:t>我单位自有资金</w:t>
      </w:r>
      <w:r>
        <w:rPr>
          <w:rFonts w:hint="eastAsia" w:ascii="仿宋_GB2312" w:hAnsi="仿宋_GB2312" w:eastAsia="仿宋_GB2312" w:cs="仿宋_GB2312"/>
          <w:sz w:val="30"/>
          <w:szCs w:val="30"/>
        </w:rPr>
        <w:t>用于滨河二期项目遗留问题信访工作差旅费。与上年决算相比，减少4.65万元，增下降64.65%，变动原因：</w:t>
      </w:r>
      <w:r>
        <w:rPr>
          <w:rFonts w:hint="eastAsia" w:ascii="仿宋_GB2312" w:hAnsi="仿宋_GB2312" w:eastAsia="仿宋_GB2312" w:cs="仿宋_GB2312"/>
          <w:sz w:val="30"/>
          <w:szCs w:val="30"/>
          <w:lang w:eastAsia="zh-CN"/>
        </w:rPr>
        <w:t>本年使用自有资金开展业务</w:t>
      </w:r>
      <w:r>
        <w:rPr>
          <w:rFonts w:hint="eastAsia" w:ascii="仿宋_GB2312" w:hAnsi="仿宋_GB2312" w:eastAsia="仿宋_GB2312" w:cs="仿宋_GB2312"/>
          <w:sz w:val="30"/>
          <w:szCs w:val="30"/>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pPr>
        <w:widowControl/>
        <w:spacing w:before="240" w:after="240"/>
        <w:rPr>
          <w:rFonts w:hint="eastAsia" w:ascii="仿宋_GB2312" w:hAnsi="仿宋_GB2312" w:eastAsia="仿宋_GB2312" w:cs="仿宋_GB2312"/>
          <w:b w:val="0"/>
          <w:bCs w:val="0"/>
          <w:kern w:val="0"/>
          <w:sz w:val="30"/>
          <w:szCs w:val="30"/>
          <w:u w:val="none" w:color="auto"/>
        </w:rPr>
      </w:pPr>
      <w:r>
        <w:rPr>
          <w:rFonts w:ascii="仿宋_GB2312" w:hAnsi="仿宋_GB2312" w:eastAsia="仿宋_GB2312" w:cs="仿宋_GB2312"/>
          <w:kern w:val="0"/>
          <w:sz w:val="27"/>
          <w:szCs w:val="27"/>
        </w:rPr>
        <w:t xml:space="preserve">    </w:t>
      </w:r>
      <w:r>
        <w:rPr>
          <w:rFonts w:hint="eastAsia" w:ascii="仿宋_GB2312" w:hAnsi="仿宋_GB2312" w:eastAsia="仿宋_GB2312" w:cs="仿宋_GB2312"/>
          <w:b w:val="0"/>
          <w:bCs w:val="0"/>
          <w:color w:val="000000"/>
          <w:kern w:val="0"/>
          <w:sz w:val="30"/>
          <w:szCs w:val="30"/>
          <w:u w:val="none" w:color="auto"/>
        </w:rPr>
        <w:t>乌海市土地收购储备中心 2024年度本年收入决算合计 148.44万元，其中：</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本年一般公共预算财政拨款收入 148.38万元，占 99.96%；</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本年政府性基金预算财政拨款收入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本年国有资本经营预算财政拨款收入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本年上级补助收入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本年事业收入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本年经营收入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本年附属单位上缴收入 0万元，占 0%；</w:t>
      </w:r>
    </w:p>
    <w:p>
      <w:pPr>
        <w:widowControl/>
        <w:spacing w:before="240" w:after="240"/>
        <w:rPr>
          <w:rFonts w:hint="eastAsia" w:ascii="仿宋_GB2312" w:hAnsi="仿宋_GB2312" w:eastAsia="仿宋_GB2312" w:cs="仿宋_GB2312"/>
          <w:b w:val="0"/>
          <w:bCs w:val="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本年其他收入 0.06万元，占 0.04%。</w:t>
      </w:r>
    </w:p>
    <w:p>
      <w:pPr>
        <w:widowControl/>
        <w:spacing w:before="240" w:after="240"/>
        <w:jc w:val="center"/>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eastAsia="zh-CN"/>
        </w:rPr>
        <w:drawing>
          <wp:anchor distT="0" distB="0" distL="114300" distR="114300" simplePos="0" relativeHeight="251658240" behindDoc="0" locked="0" layoutInCell="1" allowOverlap="1">
            <wp:simplePos x="0" y="0"/>
            <wp:positionH relativeFrom="column">
              <wp:posOffset>1290955</wp:posOffset>
            </wp:positionH>
            <wp:positionV relativeFrom="page">
              <wp:posOffset>941705</wp:posOffset>
            </wp:positionV>
            <wp:extent cx="3792855" cy="2385695"/>
            <wp:effectExtent l="5080" t="4445" r="12065" b="1778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hAnsi="仿宋_GB2312" w:eastAsia="仿宋_GB2312" w:cs="仿宋_GB2312"/>
          <w:kern w:val="0"/>
          <w:sz w:val="30"/>
          <w:szCs w:val="30"/>
        </w:rPr>
        <w:t>图1.收入决算图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ascii="仿宋_GB2312" w:hAnsi="仿宋_GB2312" w:eastAsia="仿宋_GB2312" w:cs="仿宋_GB2312"/>
          <w:kern w:val="0"/>
          <w:sz w:val="27"/>
          <w:szCs w:val="27"/>
        </w:rPr>
        <w:t xml:space="preserve">    </w:t>
      </w:r>
      <w:r>
        <w:rPr>
          <w:rFonts w:hint="eastAsia" w:ascii="仿宋_GB2312" w:hAnsi="仿宋_GB2312" w:eastAsia="仿宋_GB2312" w:cs="仿宋_GB2312"/>
          <w:b w:val="0"/>
          <w:bCs w:val="0"/>
          <w:color w:val="000000"/>
          <w:kern w:val="0"/>
          <w:sz w:val="30"/>
          <w:szCs w:val="30"/>
          <w:u w:val="none" w:color="auto"/>
        </w:rPr>
        <w:t>乌海市土地收购储备中心 2024年度本年支出决算合计 153.25万元，其中：</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本年基本支出 144.58万元，占 94.34%；</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本年项目支出 8.67万元，占 5.66%；</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本年上缴上级支出 0万元，占 0%；</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本年经营支出 0万元，占 0%；</w:t>
      </w:r>
    </w:p>
    <w:p>
      <w:pPr>
        <w:widowControl/>
        <w:spacing w:before="240" w:after="240"/>
        <w:rPr>
          <w:rFonts w:hint="eastAsia" w:ascii="仿宋_GB2312" w:hAnsi="仿宋_GB2312" w:eastAsia="仿宋_GB2312" w:cs="仿宋_GB2312"/>
          <w:b w:val="0"/>
          <w:bCs w:val="0"/>
          <w:color w:val="000000"/>
          <w:kern w:val="0"/>
          <w:sz w:val="30"/>
          <w:szCs w:val="30"/>
          <w:u w:val="none" w:color="auto"/>
        </w:rPr>
      </w:pPr>
      <w:r>
        <w:rPr>
          <w:rFonts w:hint="eastAsia" w:ascii="仿宋_GB2312" w:hAnsi="仿宋_GB2312" w:eastAsia="仿宋_GB2312" w:cs="仿宋_GB2312"/>
          <w:b w:val="0"/>
          <w:bCs w:val="0"/>
          <w:color w:val="000000"/>
          <w:kern w:val="0"/>
          <w:sz w:val="30"/>
          <w:szCs w:val="30"/>
          <w:u w:val="none" w:color="auto"/>
        </w:rPr>
        <w:t>    本年对附属单位补助支出 0万元，占 0%。</w:t>
      </w:r>
    </w:p>
    <w:p>
      <w:pPr>
        <w:widowControl/>
        <w:spacing w:before="240" w:after="240"/>
        <w:rPr>
          <w:rFonts w:ascii="Times New Roman" w:hAnsi="Times New Roman" w:eastAsia="Times New Roman" w:cs="Times New Roman"/>
          <w:kern w:val="0"/>
          <w:sz w:val="24"/>
        </w:rPr>
      </w:pPr>
      <w:r>
        <w:rPr>
          <w:rFonts w:ascii="仿宋_GB2312" w:hAnsi="仿宋_GB2312" w:eastAsia="仿宋_GB2312" w:cs="仿宋_GB2312"/>
          <w:color w:val="0E00FE"/>
          <w:kern w:val="0"/>
          <w:sz w:val="27"/>
          <w:szCs w:val="27"/>
        </w:rPr>
        <w:t xml:space="preserve">    </w:t>
      </w:r>
    </w:p>
    <w:p>
      <w:pPr>
        <w:widowControl/>
        <w:spacing w:before="240" w:after="240"/>
        <w:jc w:val="center"/>
        <w:rPr>
          <w:rFonts w:hint="eastAsia" w:ascii="Times New Roman" w:hAnsi="Times New Roman" w:eastAsia="宋体" w:cs="Times New Roman"/>
          <w:kern w:val="0"/>
          <w:sz w:val="30"/>
          <w:szCs w:val="30"/>
          <w:lang w:eastAsia="zh-CN"/>
        </w:rPr>
      </w:pPr>
      <w:r>
        <w:rPr>
          <w:rFonts w:hint="eastAsia" w:ascii="仿宋_GB2312" w:hAnsi="仿宋_GB2312" w:eastAsia="仿宋_GB2312" w:cs="仿宋_GB2312"/>
          <w:color w:val="0E00FE"/>
          <w:kern w:val="0"/>
          <w:sz w:val="30"/>
          <w:szCs w:val="30"/>
        </w:rPr>
        <w:drawing>
          <wp:anchor distT="0" distB="0" distL="114300" distR="114300" simplePos="0" relativeHeight="251660288" behindDoc="0" locked="0" layoutInCell="1" allowOverlap="1">
            <wp:simplePos x="0" y="0"/>
            <wp:positionH relativeFrom="column">
              <wp:posOffset>1351280</wp:posOffset>
            </wp:positionH>
            <wp:positionV relativeFrom="paragraph">
              <wp:posOffset>-688975</wp:posOffset>
            </wp:positionV>
            <wp:extent cx="3550920" cy="2613660"/>
            <wp:effectExtent l="4445" t="4445" r="10795" b="1841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ascii="仿宋_GB2312" w:hAnsi="仿宋_GB2312" w:eastAsia="仿宋_GB2312" w:cs="仿宋_GB2312"/>
          <w:kern w:val="0"/>
          <w:sz w:val="30"/>
          <w:szCs w:val="30"/>
        </w:rPr>
        <w:t>图2.支出决算图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ascii="Calibri" w:hAnsi="Calibri" w:cs="Calibri"/>
          <w:b/>
          <w:bCs/>
          <w:kern w:val="0"/>
          <w:sz w:val="27"/>
          <w:szCs w:val="27"/>
          <w:lang w:val="en-US" w:eastAsia="zh-CN"/>
        </w:rPr>
        <w:t xml:space="preserve"> </w:t>
      </w:r>
      <w:r>
        <w:rPr>
          <w:rFonts w:ascii="黑体" w:hAnsi="黑体" w:eastAsia="黑体" w:cs="黑体"/>
          <w:b/>
          <w:bCs/>
          <w:kern w:val="0"/>
          <w:sz w:val="27"/>
          <w:szCs w:val="27"/>
        </w:rPr>
        <w:t xml:space="preserve"> 四、财政拨款收入支出决算总体情况说明</w:t>
      </w:r>
    </w:p>
    <w:p>
      <w:pPr>
        <w:adjustRightInd w:val="0"/>
        <w:snapToGrid w:val="0"/>
        <w:spacing w:line="560" w:lineRule="exact"/>
        <w:ind w:firstLine="600" w:firstLineChars="200"/>
        <w:rPr>
          <w:rFonts w:ascii="Times New Roman" w:hAnsi="Times New Roman" w:eastAsia="Times New Roman" w:cs="Times New Roman"/>
          <w:kern w:val="0"/>
          <w:sz w:val="24"/>
        </w:rPr>
      </w:pPr>
      <w:r>
        <w:rPr>
          <w:rFonts w:hint="eastAsia" w:ascii="仿宋_GB2312" w:hAnsi="仿宋_GB2312" w:eastAsia="仿宋_GB2312" w:cs="仿宋_GB2312"/>
          <w:sz w:val="30"/>
          <w:szCs w:val="30"/>
        </w:rPr>
        <w:t>乌海市土地收购储备中心 2024年度财政拨款收入、支出决算总计均为 148.38万元，与年初预算相比，收、支总计各增加 34.60万元，增长 30.41%，变动原因：</w:t>
      </w:r>
      <w:r>
        <w:rPr>
          <w:rFonts w:hint="eastAsia" w:ascii="仿宋_GB2312" w:hAnsi="仿宋_GB2312" w:eastAsia="仿宋_GB2312" w:cs="仿宋_GB2312"/>
          <w:sz w:val="30"/>
          <w:szCs w:val="30"/>
          <w:lang w:eastAsia="zh-CN"/>
        </w:rPr>
        <w:t>追加专项资金及人员工资</w:t>
      </w:r>
      <w:r>
        <w:rPr>
          <w:rFonts w:hint="eastAsia" w:ascii="仿宋_GB2312" w:hAnsi="仿宋_GB2312" w:eastAsia="仿宋_GB2312" w:cs="仿宋_GB2312"/>
          <w:sz w:val="30"/>
          <w:szCs w:val="30"/>
        </w:rPr>
        <w:t>；与上年决算相比，收、支总计各增加 34.38万元，增长30.16%，变动原因：</w:t>
      </w:r>
      <w:r>
        <w:rPr>
          <w:rFonts w:hint="eastAsia" w:ascii="仿宋_GB2312" w:hAnsi="仿宋_GB2312" w:eastAsia="仿宋_GB2312" w:cs="仿宋_GB2312"/>
          <w:sz w:val="30"/>
          <w:szCs w:val="30"/>
          <w:lang w:eastAsia="zh-CN"/>
        </w:rPr>
        <w:t>新增专项资金及使用我单位自有资金</w:t>
      </w:r>
      <w:r>
        <w:rPr>
          <w:rFonts w:hint="eastAsia" w:ascii="仿宋_GB2312" w:hAnsi="仿宋_GB2312" w:eastAsia="仿宋_GB2312" w:cs="仿宋_GB2312"/>
          <w:sz w:val="30"/>
          <w:szCs w:val="30"/>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kern w:val="0"/>
          <w:sz w:val="27"/>
          <w:szCs w:val="27"/>
        </w:rPr>
        <w:t xml:space="preserve">    </w:t>
      </w:r>
      <w:r>
        <w:rPr>
          <w:rFonts w:hint="eastAsia" w:ascii="仿宋_GB2312" w:hAnsi="仿宋_GB2312" w:eastAsia="仿宋_GB2312" w:cs="仿宋_GB2312"/>
          <w:sz w:val="30"/>
          <w:szCs w:val="30"/>
        </w:rPr>
        <w:t>乌海市土地收购储备中心 2024年度一般公共预算财政拨款支出决算 148.38万元。与年初预算 113.78万元相比，完成年初预算的 130.41%。其中：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color w:val="000000"/>
          <w:kern w:val="0"/>
          <w:sz w:val="27"/>
          <w:szCs w:val="27"/>
        </w:rPr>
        <w:t>    （</w:t>
      </w:r>
      <w:r>
        <w:rPr>
          <w:rFonts w:hint="eastAsia" w:ascii="仿宋_GB2312" w:hAnsi="仿宋_GB2312" w:eastAsia="仿宋_GB2312" w:cs="仿宋_GB2312"/>
          <w:b/>
          <w:bCs/>
          <w:color w:val="000000"/>
          <w:kern w:val="0"/>
          <w:sz w:val="27"/>
          <w:szCs w:val="27"/>
        </w:rPr>
        <w:t>一）一般公共服务（类）</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w:t>
      </w:r>
      <w:r>
        <w:rPr>
          <w:rFonts w:hint="eastAsia" w:ascii="仿宋_GB2312" w:hAnsi="仿宋_GB2312" w:eastAsia="仿宋_GB2312" w:cs="仿宋_GB2312"/>
          <w:sz w:val="30"/>
          <w:szCs w:val="30"/>
        </w:rPr>
        <w:t xml:space="preserve"> 一般公共服务（类）决算数为 1.36万元，与年初预算相比增加 0万元。其中：</w:t>
      </w:r>
    </w:p>
    <w:p>
      <w:pPr>
        <w:widowControl/>
        <w:spacing w:before="240" w:after="240"/>
        <w:rPr>
          <w:rFonts w:ascii="Times New Roman" w:hAnsi="Times New Roman" w:eastAsia="Times New Roman" w:cs="Times New Roman"/>
          <w:kern w:val="0"/>
          <w:sz w:val="24"/>
        </w:rPr>
      </w:pPr>
      <w:r>
        <w:rPr>
          <w:rFonts w:hint="eastAsia" w:ascii="仿宋_GB2312" w:hAnsi="仿宋_GB2312" w:eastAsia="仿宋_GB2312" w:cs="仿宋_GB2312"/>
          <w:sz w:val="30"/>
          <w:szCs w:val="30"/>
        </w:rPr>
        <w:t>    1．人大事务（款）行政运行（项）。年初预算</w:t>
      </w:r>
      <w:r>
        <w:rPr>
          <w:rFonts w:hint="eastAsia" w:ascii="仿宋_GB2312" w:hAnsi="仿宋_GB2312" w:eastAsia="仿宋_GB2312" w:cs="仿宋_GB2312"/>
          <w:sz w:val="30"/>
          <w:szCs w:val="30"/>
          <w:lang w:val="en-US" w:eastAsia="zh-CN"/>
        </w:rPr>
        <w:t>1.36</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1.36</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100</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eastAsia="zh-CN"/>
        </w:rPr>
        <w:t>无增减变化</w:t>
      </w:r>
      <w:r>
        <w:rPr>
          <w:rFonts w:hint="eastAsia" w:ascii="仿宋_GB2312" w:hAnsi="仿宋_GB2312" w:eastAsia="仿宋_GB2312" w:cs="仿宋_GB2312"/>
          <w:sz w:val="30"/>
          <w:szCs w:val="30"/>
        </w:rPr>
        <w:t>。</w:t>
      </w:r>
    </w:p>
    <w:p>
      <w:pPr>
        <w:widowControl/>
        <w:spacing w:before="240" w:after="240"/>
        <w:jc w:val="left"/>
        <w:rPr>
          <w:rFonts w:hint="eastAsia" w:ascii="仿宋_GB2312" w:hAnsi="仿宋_GB2312" w:eastAsia="仿宋_GB2312" w:cs="仿宋_GB2312"/>
          <w:kern w:val="0"/>
          <w:sz w:val="30"/>
          <w:szCs w:val="30"/>
        </w:rPr>
      </w:pPr>
      <w:r>
        <w:rPr>
          <w:rFonts w:hint="eastAsia" w:ascii="仿宋_GB2312" w:hAnsi="仿宋_GB2312" w:eastAsia="仿宋_GB2312" w:cs="仿宋_GB2312"/>
          <w:b/>
          <w:bCs/>
          <w:color w:val="000000"/>
          <w:kern w:val="0"/>
          <w:sz w:val="30"/>
          <w:szCs w:val="30"/>
        </w:rPr>
        <w:t>    （</w:t>
      </w:r>
      <w:r>
        <w:rPr>
          <w:rFonts w:hint="eastAsia" w:ascii="仿宋_GB2312" w:hAnsi="仿宋_GB2312" w:eastAsia="仿宋_GB2312" w:cs="仿宋_GB2312"/>
          <w:b/>
          <w:bCs/>
          <w:color w:val="000000"/>
          <w:kern w:val="0"/>
          <w:sz w:val="30"/>
          <w:szCs w:val="30"/>
          <w:lang w:eastAsia="zh-CN"/>
        </w:rPr>
        <w:t>二</w:t>
      </w:r>
      <w:r>
        <w:rPr>
          <w:rFonts w:hint="eastAsia" w:ascii="仿宋_GB2312" w:hAnsi="仿宋_GB2312" w:eastAsia="仿宋_GB2312" w:cs="仿宋_GB2312"/>
          <w:b/>
          <w:bCs/>
          <w:color w:val="000000"/>
          <w:kern w:val="0"/>
          <w:sz w:val="30"/>
          <w:szCs w:val="30"/>
        </w:rPr>
        <w:t>）社会保障和就业支出（类）</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社会保障和就业支出（类）决算数为 27.43万元，与年初预算相比增加10.97万元。其中：</w:t>
      </w:r>
    </w:p>
    <w:p>
      <w:pPr>
        <w:widowControl/>
        <w:spacing w:before="240" w:after="24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1．行政事业单位养老支出（款）行政单位离退休（项）。年初预算</w:t>
      </w:r>
      <w:r>
        <w:rPr>
          <w:rFonts w:hint="eastAsia" w:ascii="仿宋_GB2312" w:hAnsi="仿宋_GB2312" w:eastAsia="仿宋_GB2312" w:cs="仿宋_GB2312"/>
          <w:sz w:val="30"/>
          <w:szCs w:val="30"/>
          <w:lang w:val="en-US" w:eastAsia="zh-CN"/>
        </w:rPr>
        <w:t>2.34</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5.4</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230.77</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val="en-US" w:eastAsia="zh-CN"/>
        </w:rPr>
        <w:t>2024年我单位新增退休人员3人</w:t>
      </w:r>
      <w:r>
        <w:rPr>
          <w:rFonts w:hint="eastAsia" w:ascii="仿宋_GB2312" w:hAnsi="仿宋_GB2312" w:eastAsia="仿宋_GB2312" w:cs="仿宋_GB2312"/>
          <w:sz w:val="30"/>
          <w:szCs w:val="30"/>
        </w:rPr>
        <w:t>。</w:t>
      </w:r>
    </w:p>
    <w:p>
      <w:pPr>
        <w:widowControl/>
        <w:spacing w:before="240" w:after="24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．行政事业单位养老支出（款）机关事业单位基本养老保险缴费支出（项）。年初预算</w:t>
      </w:r>
      <w:r>
        <w:rPr>
          <w:rFonts w:hint="eastAsia" w:ascii="仿宋_GB2312" w:hAnsi="仿宋_GB2312" w:eastAsia="仿宋_GB2312" w:cs="仿宋_GB2312"/>
          <w:sz w:val="30"/>
          <w:szCs w:val="30"/>
          <w:lang w:val="en-US" w:eastAsia="zh-CN"/>
        </w:rPr>
        <w:t>9.42</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11.09</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117.73</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eastAsia="zh-CN"/>
        </w:rPr>
        <w:t>单位人员变动及工资调整</w:t>
      </w:r>
      <w:r>
        <w:rPr>
          <w:rFonts w:hint="eastAsia" w:ascii="仿宋_GB2312" w:hAnsi="仿宋_GB2312" w:eastAsia="仿宋_GB2312" w:cs="仿宋_GB2312"/>
          <w:sz w:val="30"/>
          <w:szCs w:val="30"/>
        </w:rPr>
        <w:t>。</w:t>
      </w:r>
    </w:p>
    <w:p>
      <w:pPr>
        <w:widowControl/>
        <w:spacing w:before="240" w:after="24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．行政事业单位养老支出（款）机关事业单位职业年金缴费支出（项）。年初预算</w:t>
      </w:r>
      <w:r>
        <w:rPr>
          <w:rFonts w:hint="eastAsia" w:ascii="仿宋_GB2312" w:hAnsi="仿宋_GB2312" w:eastAsia="仿宋_GB2312" w:cs="仿宋_GB2312"/>
          <w:sz w:val="30"/>
          <w:szCs w:val="30"/>
          <w:lang w:val="en-US" w:eastAsia="zh-CN"/>
        </w:rPr>
        <w:t>4.71</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10.94</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232.27</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val="en-US" w:eastAsia="zh-CN"/>
        </w:rPr>
        <w:t>2024年我单位新增退休人员3人，追加职业年金</w:t>
      </w:r>
      <w:r>
        <w:rPr>
          <w:rFonts w:hint="eastAsia" w:ascii="仿宋_GB2312" w:hAnsi="仿宋_GB2312" w:eastAsia="仿宋_GB2312" w:cs="仿宋_GB2312"/>
          <w:sz w:val="30"/>
          <w:szCs w:val="30"/>
        </w:rPr>
        <w:t>。</w:t>
      </w:r>
    </w:p>
    <w:p>
      <w:pPr>
        <w:widowControl/>
        <w:spacing w:before="240" w:after="240"/>
        <w:jc w:val="left"/>
        <w:rPr>
          <w:rFonts w:hint="eastAsia" w:ascii="仿宋_GB2312" w:hAnsi="仿宋_GB2312" w:eastAsia="仿宋_GB2312" w:cs="仿宋_GB2312"/>
          <w:kern w:val="0"/>
          <w:sz w:val="30"/>
          <w:szCs w:val="30"/>
        </w:rPr>
      </w:pPr>
      <w:r>
        <w:rPr>
          <w:rFonts w:hint="eastAsia" w:ascii="仿宋_GB2312" w:hAnsi="仿宋_GB2312" w:eastAsia="仿宋_GB2312" w:cs="仿宋_GB2312"/>
          <w:b/>
          <w:bCs/>
          <w:color w:val="000000"/>
          <w:kern w:val="0"/>
          <w:sz w:val="30"/>
          <w:szCs w:val="30"/>
        </w:rPr>
        <w:t>    （</w:t>
      </w:r>
      <w:r>
        <w:rPr>
          <w:rFonts w:hint="eastAsia" w:ascii="仿宋_GB2312" w:hAnsi="仿宋_GB2312" w:eastAsia="仿宋_GB2312" w:cs="仿宋_GB2312"/>
          <w:b/>
          <w:bCs/>
          <w:color w:val="000000"/>
          <w:kern w:val="0"/>
          <w:sz w:val="30"/>
          <w:szCs w:val="30"/>
          <w:lang w:eastAsia="zh-CN"/>
        </w:rPr>
        <w:t>三</w:t>
      </w:r>
      <w:r>
        <w:rPr>
          <w:rFonts w:hint="eastAsia" w:ascii="仿宋_GB2312" w:hAnsi="仿宋_GB2312" w:eastAsia="仿宋_GB2312" w:cs="仿宋_GB2312"/>
          <w:b/>
          <w:bCs/>
          <w:color w:val="000000"/>
          <w:kern w:val="0"/>
          <w:sz w:val="30"/>
          <w:szCs w:val="30"/>
        </w:rPr>
        <w:t>）卫生健康支出（类）</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卫生健康支出（类）决算数为 6.14万元，与年初预算相比增加0.76万元。其中：</w:t>
      </w:r>
    </w:p>
    <w:p>
      <w:pPr>
        <w:widowControl/>
        <w:spacing w:before="240" w:after="24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1．行政事业单位医疗（款）行政单位医疗（项）。年初预算</w:t>
      </w:r>
      <w:r>
        <w:rPr>
          <w:rFonts w:hint="eastAsia" w:ascii="仿宋_GB2312" w:hAnsi="仿宋_GB2312" w:eastAsia="仿宋_GB2312" w:cs="仿宋_GB2312"/>
          <w:sz w:val="30"/>
          <w:szCs w:val="30"/>
          <w:lang w:val="en-US" w:eastAsia="zh-CN"/>
        </w:rPr>
        <w:t>5.38</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5.2</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96.65</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eastAsia="zh-CN"/>
        </w:rPr>
        <w:t>单位人员退休</w:t>
      </w:r>
      <w:r>
        <w:rPr>
          <w:rFonts w:hint="eastAsia" w:ascii="仿宋_GB2312" w:hAnsi="仿宋_GB2312" w:eastAsia="仿宋_GB2312" w:cs="仿宋_GB2312"/>
          <w:sz w:val="30"/>
          <w:szCs w:val="30"/>
        </w:rPr>
        <w:t>。</w:t>
      </w:r>
    </w:p>
    <w:p>
      <w:pPr>
        <w:widowControl/>
        <w:spacing w:before="240" w:after="24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2．行政事业单位医疗（款）事业单位医疗（项）。年初预算</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0.94</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eastAsia="zh-CN"/>
        </w:rPr>
        <w:t>我单位事业人员调出</w:t>
      </w:r>
      <w:r>
        <w:rPr>
          <w:rFonts w:hint="eastAsia" w:ascii="仿宋_GB2312" w:hAnsi="仿宋_GB2312" w:eastAsia="仿宋_GB2312" w:cs="仿宋_GB2312"/>
          <w:sz w:val="30"/>
          <w:szCs w:val="30"/>
        </w:rPr>
        <w:t>。</w:t>
      </w:r>
    </w:p>
    <w:p>
      <w:pPr>
        <w:widowControl/>
        <w:spacing w:before="240" w:after="240"/>
        <w:jc w:val="left"/>
        <w:rPr>
          <w:rFonts w:hint="eastAsia" w:ascii="仿宋_GB2312" w:hAnsi="仿宋_GB2312" w:eastAsia="仿宋_GB2312" w:cs="仿宋_GB2312"/>
          <w:kern w:val="0"/>
          <w:sz w:val="30"/>
          <w:szCs w:val="30"/>
        </w:rPr>
      </w:pPr>
      <w:r>
        <w:rPr>
          <w:rFonts w:hint="eastAsia" w:ascii="仿宋_GB2312" w:hAnsi="仿宋_GB2312" w:eastAsia="仿宋_GB2312" w:cs="仿宋_GB2312"/>
          <w:b/>
          <w:bCs/>
          <w:color w:val="000000"/>
          <w:kern w:val="0"/>
          <w:sz w:val="30"/>
          <w:szCs w:val="30"/>
        </w:rPr>
        <w:t>    （</w:t>
      </w:r>
      <w:r>
        <w:rPr>
          <w:rFonts w:hint="eastAsia" w:ascii="仿宋_GB2312" w:hAnsi="仿宋_GB2312" w:eastAsia="仿宋_GB2312" w:cs="仿宋_GB2312"/>
          <w:b/>
          <w:bCs/>
          <w:color w:val="000000"/>
          <w:kern w:val="0"/>
          <w:sz w:val="30"/>
          <w:szCs w:val="30"/>
          <w:lang w:eastAsia="zh-CN"/>
        </w:rPr>
        <w:t>四</w:t>
      </w:r>
      <w:r>
        <w:rPr>
          <w:rFonts w:hint="eastAsia" w:ascii="仿宋_GB2312" w:hAnsi="仿宋_GB2312" w:eastAsia="仿宋_GB2312" w:cs="仿宋_GB2312"/>
          <w:b/>
          <w:bCs/>
          <w:color w:val="000000"/>
          <w:kern w:val="0"/>
          <w:sz w:val="30"/>
          <w:szCs w:val="30"/>
        </w:rPr>
        <w:t>）住房保障支出（类）</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住房保障支出（类）决算数为 10.65万元，与年初预算相比增加 2.08万元。其中：</w:t>
      </w:r>
    </w:p>
    <w:p>
      <w:pPr>
        <w:widowControl/>
        <w:numPr>
          <w:numId w:val="0"/>
        </w:numPr>
        <w:spacing w:before="240" w:after="240"/>
        <w:ind w:firstLine="600" w:firstLineChars="200"/>
        <w:rPr>
          <w:rFonts w:hint="eastAsia" w:ascii="仿宋_GB2312" w:hAnsi="仿宋_GB2312" w:eastAsia="仿宋_GB2312" w:cs="仿宋_GB2312"/>
          <w:sz w:val="30"/>
          <w:szCs w:val="30"/>
        </w:rPr>
      </w:pPr>
      <w:bookmarkStart w:id="1" w:name="_GoBack"/>
      <w:bookmarkEnd w:id="1"/>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住房改革支出（款）住房公积金（项）。年初预算</w:t>
      </w:r>
      <w:r>
        <w:rPr>
          <w:rFonts w:hint="eastAsia" w:ascii="仿宋_GB2312" w:hAnsi="仿宋_GB2312" w:eastAsia="仿宋_GB2312" w:cs="仿宋_GB2312"/>
          <w:sz w:val="30"/>
          <w:szCs w:val="30"/>
          <w:lang w:val="en-US" w:eastAsia="zh-CN"/>
        </w:rPr>
        <w:t>8.57</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10.65</w:t>
      </w:r>
      <w:r>
        <w:rPr>
          <w:rFonts w:hint="eastAsia" w:ascii="仿宋_GB2312" w:hAnsi="仿宋_GB2312" w:eastAsia="仿宋_GB2312" w:cs="仿宋_GB2312"/>
          <w:sz w:val="30"/>
          <w:szCs w:val="30"/>
        </w:rPr>
        <w:t>万元，完成年初预算的</w:t>
      </w:r>
      <w:r>
        <w:rPr>
          <w:rFonts w:hint="eastAsia" w:ascii="仿宋_GB2312" w:hAnsi="仿宋_GB2312" w:eastAsia="仿宋_GB2312" w:cs="仿宋_GB2312"/>
          <w:sz w:val="30"/>
          <w:szCs w:val="30"/>
          <w:lang w:val="en-US" w:eastAsia="zh-CN"/>
        </w:rPr>
        <w:t>124.27</w:t>
      </w:r>
      <w:r>
        <w:rPr>
          <w:rFonts w:hint="eastAsia" w:ascii="仿宋_GB2312" w:hAnsi="仿宋_GB2312" w:eastAsia="仿宋_GB2312" w:cs="仿宋_GB2312"/>
          <w:sz w:val="30"/>
          <w:szCs w:val="30"/>
        </w:rPr>
        <w:t>%。决算数与年初预算数的差异原因：</w:t>
      </w:r>
      <w:r>
        <w:rPr>
          <w:rFonts w:hint="eastAsia" w:ascii="仿宋_GB2312" w:hAnsi="仿宋_GB2312" w:eastAsia="仿宋_GB2312" w:cs="仿宋_GB2312"/>
          <w:sz w:val="30"/>
          <w:szCs w:val="30"/>
          <w:lang w:eastAsia="zh-CN"/>
        </w:rPr>
        <w:t>人员工资变动</w:t>
      </w:r>
      <w:r>
        <w:rPr>
          <w:rFonts w:hint="eastAsia" w:ascii="仿宋_GB2312" w:hAnsi="仿宋_GB2312" w:eastAsia="仿宋_GB2312" w:cs="仿宋_GB2312"/>
          <w:sz w:val="30"/>
          <w:szCs w:val="30"/>
        </w:rPr>
        <w:t>，核定基数有所变动。</w:t>
      </w:r>
    </w:p>
    <w:p>
      <w:pPr>
        <w:spacing w:line="560" w:lineRule="exact"/>
        <w:ind w:firstLine="602" w:firstLineChars="200"/>
        <w:jc w:val="both"/>
        <w:rPr>
          <w:rFonts w:hint="eastAsia" w:ascii="仿宋_GB2312" w:hAnsi="仿宋_GB2312" w:eastAsia="仿宋_GB2312" w:cs="仿宋_GB2312"/>
          <w:b/>
          <w:kern w:val="2"/>
          <w:sz w:val="30"/>
          <w:szCs w:val="30"/>
        </w:rPr>
      </w:pPr>
      <w:r>
        <w:rPr>
          <w:rFonts w:hint="eastAsia" w:ascii="仿宋_GB2312" w:hAnsi="仿宋_GB2312" w:eastAsia="仿宋_GB2312" w:cs="仿宋_GB2312"/>
          <w:b/>
          <w:kern w:val="2"/>
          <w:sz w:val="30"/>
          <w:szCs w:val="30"/>
          <w:lang w:eastAsia="zh-CN"/>
        </w:rPr>
        <w:t>（五）</w:t>
      </w:r>
      <w:r>
        <w:rPr>
          <w:rFonts w:hint="eastAsia" w:ascii="仿宋_GB2312" w:hAnsi="仿宋_GB2312" w:eastAsia="仿宋_GB2312" w:cs="仿宋_GB2312"/>
          <w:b/>
          <w:kern w:val="2"/>
          <w:sz w:val="30"/>
          <w:szCs w:val="30"/>
        </w:rPr>
        <w:t>自然资源海洋气象等支出（类）</w:t>
      </w:r>
    </w:p>
    <w:p>
      <w:pPr>
        <w:snapToGrid w:val="0"/>
        <w:spacing w:line="560" w:lineRule="exact"/>
        <w:ind w:left="218" w:leftChars="104"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自然资源海洋气象支出类决算数为</w:t>
      </w:r>
      <w:r>
        <w:rPr>
          <w:rFonts w:hint="eastAsia" w:ascii="仿宋_GB2312" w:hAnsi="仿宋_GB2312" w:eastAsia="仿宋_GB2312" w:cs="仿宋_GB2312"/>
          <w:sz w:val="30"/>
          <w:szCs w:val="30"/>
          <w:lang w:val="en-US" w:eastAsia="zh-CN"/>
        </w:rPr>
        <w:t>77.16</w:t>
      </w:r>
      <w:r>
        <w:rPr>
          <w:rFonts w:hint="eastAsia" w:ascii="仿宋_GB2312" w:hAnsi="仿宋_GB2312" w:eastAsia="仿宋_GB2312" w:cs="仿宋_GB2312"/>
          <w:sz w:val="30"/>
          <w:szCs w:val="30"/>
        </w:rPr>
        <w:t>万元，与年初预算相比增加</w:t>
      </w:r>
      <w:r>
        <w:rPr>
          <w:rFonts w:hint="eastAsia" w:ascii="仿宋_GB2312" w:hAnsi="仿宋_GB2312" w:eastAsia="仿宋_GB2312" w:cs="仿宋_GB2312"/>
          <w:sz w:val="30"/>
          <w:szCs w:val="30"/>
          <w:lang w:val="en-US" w:eastAsia="zh-CN"/>
        </w:rPr>
        <w:t>25.69</w:t>
      </w:r>
      <w:r>
        <w:rPr>
          <w:rFonts w:hint="eastAsia" w:ascii="仿宋_GB2312" w:hAnsi="仿宋_GB2312" w:eastAsia="仿宋_GB2312" w:cs="仿宋_GB2312"/>
          <w:sz w:val="30"/>
          <w:szCs w:val="30"/>
        </w:rPr>
        <w:t>万元。其中：</w:t>
      </w:r>
    </w:p>
    <w:p>
      <w:pPr>
        <w:snapToGrid w:val="0"/>
        <w:spacing w:line="560" w:lineRule="exact"/>
        <w:ind w:left="218" w:leftChars="104"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sz w:val="30"/>
          <w:szCs w:val="30"/>
        </w:rPr>
        <w:t>1. 自然资源事务（款）其他自然资源事务支出（项）。年初预</w:t>
      </w:r>
      <w:r>
        <w:rPr>
          <w:rFonts w:hint="eastAsia" w:ascii="仿宋_GB2312" w:hAnsi="仿宋_GB2312" w:eastAsia="仿宋_GB2312" w:cs="仿宋_GB2312"/>
          <w:sz w:val="30"/>
          <w:szCs w:val="30"/>
          <w:lang w:val="en-US" w:eastAsia="zh-CN"/>
        </w:rPr>
        <w:t>51.47</w:t>
      </w:r>
      <w:r>
        <w:rPr>
          <w:rFonts w:hint="eastAsia" w:ascii="仿宋_GB2312" w:hAnsi="仿宋_GB2312" w:eastAsia="仿宋_GB2312" w:cs="仿宋_GB2312"/>
          <w:sz w:val="30"/>
          <w:szCs w:val="30"/>
        </w:rPr>
        <w:t>万元，支出决算</w:t>
      </w:r>
      <w:r>
        <w:rPr>
          <w:rFonts w:hint="eastAsia" w:ascii="仿宋_GB2312" w:hAnsi="仿宋_GB2312" w:eastAsia="仿宋_GB2312" w:cs="仿宋_GB2312"/>
          <w:sz w:val="30"/>
          <w:szCs w:val="30"/>
          <w:lang w:val="en-US" w:eastAsia="zh-CN"/>
        </w:rPr>
        <w:t>77.16</w:t>
      </w:r>
      <w:r>
        <w:rPr>
          <w:rFonts w:hint="eastAsia" w:ascii="仿宋_GB2312" w:hAnsi="仿宋_GB2312" w:eastAsia="仿宋_GB2312" w:cs="仿宋_GB2312"/>
          <w:sz w:val="30"/>
          <w:szCs w:val="30"/>
        </w:rPr>
        <w:t>万元，完成年初预算的1</w:t>
      </w:r>
      <w:r>
        <w:rPr>
          <w:rFonts w:hint="eastAsia" w:ascii="仿宋_GB2312" w:hAnsi="仿宋_GB2312" w:eastAsia="仿宋_GB2312" w:cs="仿宋_GB2312"/>
          <w:sz w:val="30"/>
          <w:szCs w:val="30"/>
          <w:lang w:val="en-US" w:eastAsia="zh-CN"/>
        </w:rPr>
        <w:t>49.91</w:t>
      </w:r>
      <w:r>
        <w:rPr>
          <w:rFonts w:hint="eastAsia" w:ascii="仿宋_GB2312" w:hAnsi="仿宋_GB2312" w:eastAsia="仿宋_GB2312" w:cs="仿宋_GB2312"/>
          <w:sz w:val="30"/>
          <w:szCs w:val="30"/>
        </w:rPr>
        <w:t>%。决算数与年初预算数的差异原因：单位新</w:t>
      </w:r>
      <w:r>
        <w:rPr>
          <w:rFonts w:hint="eastAsia" w:ascii="仿宋_GB2312" w:hAnsi="仿宋_GB2312" w:eastAsia="仿宋_GB2312" w:cs="仿宋_GB2312"/>
          <w:sz w:val="30"/>
          <w:szCs w:val="30"/>
          <w:lang w:eastAsia="zh-CN"/>
        </w:rPr>
        <w:t>调入人员</w:t>
      </w:r>
      <w:r>
        <w:rPr>
          <w:rFonts w:hint="eastAsia" w:ascii="仿宋_GB2312" w:hAnsi="仿宋_GB2312" w:eastAsia="仿宋_GB2312" w:cs="仿宋_GB2312"/>
          <w:sz w:val="30"/>
          <w:szCs w:val="30"/>
        </w:rPr>
        <w:t>，相应公用经费支出增加</w:t>
      </w:r>
      <w:r>
        <w:rPr>
          <w:rFonts w:hint="eastAsia" w:ascii="仿宋_GB2312" w:hAnsi="仿宋_GB2312" w:eastAsia="仿宋_GB2312" w:cs="仿宋_GB2312"/>
          <w:sz w:val="30"/>
          <w:szCs w:val="30"/>
          <w:lang w:eastAsia="zh-CN"/>
        </w:rPr>
        <w:t>；年中追加项目资金</w:t>
      </w:r>
      <w:r>
        <w:rPr>
          <w:rFonts w:hint="eastAsia" w:ascii="仿宋_GB2312" w:hAnsi="仿宋_GB2312" w:eastAsia="仿宋_GB2312" w:cs="仿宋_GB2312"/>
          <w:sz w:val="30"/>
          <w:szCs w:val="30"/>
          <w:lang w:val="en-US" w:eastAsia="zh-CN"/>
        </w:rPr>
        <w:t>8.67万元</w:t>
      </w:r>
      <w:r>
        <w:rPr>
          <w:rFonts w:hint="eastAsia" w:ascii="仿宋_GB2312" w:hAnsi="仿宋_GB2312" w:eastAsia="仿宋_GB2312" w:cs="仿宋_GB2312"/>
          <w:sz w:val="30"/>
          <w:szCs w:val="30"/>
        </w:rPr>
        <w:t>。</w:t>
      </w:r>
    </w:p>
    <w:p>
      <w:pPr>
        <w:widowControl/>
        <w:numPr>
          <w:ilvl w:val="0"/>
          <w:numId w:val="0"/>
        </w:numPr>
        <w:spacing w:before="240" w:after="240"/>
        <w:ind w:left="400" w:leftChars="0"/>
        <w:rPr>
          <w:rFonts w:hint="eastAsia" w:ascii="仿宋_GB2312" w:hAnsi="仿宋_GB2312" w:eastAsia="仿宋_GB2312" w:cs="仿宋_GB2312"/>
          <w:sz w:val="30"/>
          <w:szCs w:val="30"/>
        </w:rPr>
      </w:pPr>
    </w:p>
    <w:p>
      <w:pPr>
        <w:widowControl/>
        <w:numPr>
          <w:ilvl w:val="0"/>
          <w:numId w:val="3"/>
        </w:numPr>
        <w:spacing w:before="240" w:after="240"/>
        <w:ind w:left="393" w:leftChars="0" w:firstLine="0" w:firstLineChars="0"/>
        <w:jc w:val="left"/>
        <w:rPr>
          <w:rFonts w:ascii="黑体" w:hAnsi="黑体" w:eastAsia="黑体" w:cs="黑体"/>
          <w:b/>
          <w:bCs/>
          <w:kern w:val="0"/>
          <w:sz w:val="27"/>
          <w:szCs w:val="27"/>
        </w:rPr>
      </w:pPr>
      <w:r>
        <w:rPr>
          <w:rFonts w:ascii="黑体" w:hAnsi="黑体" w:eastAsia="黑体" w:cs="黑体"/>
          <w:b/>
          <w:bCs/>
          <w:kern w:val="0"/>
          <w:sz w:val="27"/>
          <w:szCs w:val="27"/>
        </w:rPr>
        <w:t>一般公共预算财政拨款基本支出决算情况说明</w:t>
      </w:r>
    </w:p>
    <w:p>
      <w:pPr>
        <w:widowControl/>
        <w:numPr>
          <w:ilvl w:val="0"/>
          <w:numId w:val="0"/>
        </w:numPr>
        <w:spacing w:before="240" w:after="240"/>
        <w:ind w:firstLine="600" w:firstLineChars="200"/>
        <w:jc w:val="left"/>
        <w:rPr>
          <w:rFonts w:ascii="Times New Roman" w:hAnsi="Times New Roman" w:eastAsia="Times New Roman" w:cs="Times New Roman"/>
          <w:kern w:val="0"/>
          <w:sz w:val="24"/>
        </w:rPr>
      </w:pPr>
      <w:r>
        <w:rPr>
          <w:rFonts w:hint="eastAsia" w:ascii="仿宋_GB2312" w:hAnsi="仿宋_GB2312" w:eastAsia="仿宋_GB2312" w:cs="仿宋_GB2312"/>
          <w:sz w:val="30"/>
          <w:szCs w:val="30"/>
        </w:rPr>
        <w:t>乌海市土地收购储备中心 2024年度一般公共预算财政拨款基本支出决算 144.58万元，其中：</w:t>
      </w:r>
    </w:p>
    <w:p>
      <w:pPr>
        <w:snapToGrid w:val="0"/>
        <w:spacing w:line="560" w:lineRule="exact"/>
        <w:ind w:firstLine="602"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b/>
          <w:bCs/>
          <w:sz w:val="30"/>
          <w:szCs w:val="30"/>
          <w:lang w:eastAsia="zh-CN"/>
        </w:rPr>
        <w:t>（一）</w:t>
      </w:r>
      <w:r>
        <w:rPr>
          <w:rFonts w:hint="eastAsia" w:ascii="仿宋_GB2312" w:hAnsi="仿宋_GB2312" w:eastAsia="仿宋_GB2312" w:cs="仿宋_GB2312"/>
          <w:b/>
          <w:bCs/>
          <w:sz w:val="30"/>
          <w:szCs w:val="30"/>
        </w:rPr>
        <w:t>人员经费 134.26万元。</w:t>
      </w:r>
      <w:r>
        <w:rPr>
          <w:rFonts w:hint="eastAsia" w:ascii="仿宋_GB2312" w:hAnsi="仿宋_GB2312" w:eastAsia="仿宋_GB2312" w:cs="仿宋_GB2312"/>
          <w:sz w:val="30"/>
          <w:szCs w:val="30"/>
        </w:rPr>
        <w:t>主要包括：基本工资</w:t>
      </w:r>
      <w:r>
        <w:rPr>
          <w:rFonts w:hint="eastAsia" w:ascii="仿宋_GB2312" w:hAnsi="仿宋_GB2312" w:eastAsia="仿宋_GB2312" w:cs="仿宋_GB2312"/>
          <w:sz w:val="30"/>
          <w:szCs w:val="30"/>
          <w:lang w:val="en-US" w:eastAsia="zh-CN"/>
        </w:rPr>
        <w:t>30.52万元</w:t>
      </w:r>
      <w:r>
        <w:rPr>
          <w:rFonts w:hint="eastAsia" w:ascii="仿宋_GB2312" w:hAnsi="仿宋_GB2312" w:eastAsia="仿宋_GB2312" w:cs="仿宋_GB2312"/>
          <w:sz w:val="30"/>
          <w:szCs w:val="30"/>
        </w:rPr>
        <w:t>、津贴补贴</w:t>
      </w:r>
      <w:r>
        <w:rPr>
          <w:rFonts w:hint="eastAsia" w:ascii="仿宋_GB2312" w:hAnsi="仿宋_GB2312" w:eastAsia="仿宋_GB2312" w:cs="仿宋_GB2312"/>
          <w:sz w:val="30"/>
          <w:szCs w:val="30"/>
          <w:lang w:val="en-US" w:eastAsia="zh-CN"/>
        </w:rPr>
        <w:t>58.34万元</w:t>
      </w:r>
      <w:r>
        <w:rPr>
          <w:rFonts w:hint="eastAsia" w:ascii="仿宋_GB2312" w:hAnsi="仿宋_GB2312" w:eastAsia="仿宋_GB2312" w:cs="仿宋_GB2312"/>
          <w:sz w:val="30"/>
          <w:szCs w:val="30"/>
        </w:rPr>
        <w:t>、机关事业单位基本养老保险缴费</w:t>
      </w:r>
      <w:r>
        <w:rPr>
          <w:rFonts w:hint="eastAsia" w:ascii="仿宋_GB2312" w:hAnsi="仿宋_GB2312" w:eastAsia="仿宋_GB2312" w:cs="仿宋_GB2312"/>
          <w:sz w:val="30"/>
          <w:szCs w:val="30"/>
          <w:lang w:val="en-US" w:eastAsia="zh-CN"/>
        </w:rPr>
        <w:t>11.09万元</w:t>
      </w:r>
      <w:r>
        <w:rPr>
          <w:rFonts w:hint="eastAsia" w:ascii="仿宋_GB2312" w:hAnsi="仿宋_GB2312" w:eastAsia="仿宋_GB2312" w:cs="仿宋_GB2312"/>
          <w:sz w:val="30"/>
          <w:szCs w:val="30"/>
        </w:rPr>
        <w:t>、职业年金缴费</w:t>
      </w:r>
      <w:r>
        <w:rPr>
          <w:rFonts w:hint="eastAsia" w:ascii="仿宋_GB2312" w:hAnsi="仿宋_GB2312" w:eastAsia="仿宋_GB2312" w:cs="仿宋_GB2312"/>
          <w:sz w:val="30"/>
          <w:szCs w:val="30"/>
          <w:lang w:val="en-US" w:eastAsia="zh-CN"/>
        </w:rPr>
        <w:t>10.94万元</w:t>
      </w:r>
      <w:r>
        <w:rPr>
          <w:rFonts w:hint="eastAsia" w:ascii="仿宋_GB2312" w:hAnsi="仿宋_GB2312" w:eastAsia="仿宋_GB2312" w:cs="仿宋_GB2312"/>
          <w:sz w:val="30"/>
          <w:szCs w:val="30"/>
        </w:rPr>
        <w:t>、职工基本医疗保险缴费</w:t>
      </w:r>
      <w:r>
        <w:rPr>
          <w:rFonts w:hint="eastAsia" w:ascii="仿宋_GB2312" w:hAnsi="仿宋_GB2312" w:eastAsia="仿宋_GB2312" w:cs="仿宋_GB2312"/>
          <w:sz w:val="30"/>
          <w:szCs w:val="30"/>
          <w:lang w:val="en-US" w:eastAsia="zh-CN"/>
        </w:rPr>
        <w:t>6.11万元</w:t>
      </w:r>
      <w:r>
        <w:rPr>
          <w:rFonts w:hint="eastAsia" w:ascii="仿宋_GB2312" w:hAnsi="仿宋_GB2312" w:eastAsia="仿宋_GB2312" w:cs="仿宋_GB2312"/>
          <w:sz w:val="30"/>
          <w:szCs w:val="30"/>
        </w:rPr>
        <w:t>、住房公积金</w:t>
      </w:r>
      <w:r>
        <w:rPr>
          <w:rFonts w:hint="eastAsia" w:ascii="仿宋_GB2312" w:hAnsi="仿宋_GB2312" w:eastAsia="仿宋_GB2312" w:cs="仿宋_GB2312"/>
          <w:sz w:val="30"/>
          <w:szCs w:val="30"/>
          <w:lang w:val="en-US" w:eastAsia="zh-CN"/>
        </w:rPr>
        <w:t>10.65万元</w:t>
      </w:r>
      <w:r>
        <w:rPr>
          <w:rFonts w:hint="eastAsia" w:ascii="仿宋_GB2312" w:hAnsi="仿宋_GB2312" w:eastAsia="仿宋_GB2312" w:cs="仿宋_GB2312"/>
          <w:sz w:val="30"/>
          <w:szCs w:val="30"/>
        </w:rPr>
        <w:t>、其他</w:t>
      </w:r>
      <w:r>
        <w:rPr>
          <w:rFonts w:hint="eastAsia" w:ascii="仿宋_GB2312" w:hAnsi="仿宋_GB2312" w:eastAsia="仿宋_GB2312" w:cs="仿宋_GB2312"/>
          <w:sz w:val="30"/>
          <w:szCs w:val="30"/>
          <w:lang w:eastAsia="zh-CN"/>
        </w:rPr>
        <w:t>社会保障缴费</w:t>
      </w:r>
      <w:r>
        <w:rPr>
          <w:rFonts w:hint="eastAsia" w:ascii="仿宋_GB2312" w:hAnsi="仿宋_GB2312" w:eastAsia="仿宋_GB2312" w:cs="仿宋_GB2312"/>
          <w:sz w:val="30"/>
          <w:szCs w:val="30"/>
          <w:lang w:val="en-US" w:eastAsia="zh-CN"/>
        </w:rPr>
        <w:t>1.21万元</w:t>
      </w:r>
      <w:r>
        <w:rPr>
          <w:rFonts w:hint="eastAsia" w:ascii="仿宋_GB2312" w:hAnsi="仿宋_GB2312" w:eastAsia="仿宋_GB2312" w:cs="仿宋_GB2312"/>
          <w:sz w:val="30"/>
          <w:szCs w:val="30"/>
        </w:rPr>
        <w:t>、退休费</w:t>
      </w:r>
      <w:r>
        <w:rPr>
          <w:rFonts w:hint="eastAsia" w:ascii="仿宋_GB2312" w:hAnsi="仿宋_GB2312" w:eastAsia="仿宋_GB2312" w:cs="仿宋_GB2312"/>
          <w:sz w:val="30"/>
          <w:szCs w:val="30"/>
          <w:lang w:val="en-US" w:eastAsia="zh-CN"/>
        </w:rPr>
        <w:t>5.4万元</w:t>
      </w:r>
      <w:r>
        <w:rPr>
          <w:rFonts w:hint="eastAsia" w:ascii="仿宋_GB2312" w:hAnsi="仿宋_GB2312" w:eastAsia="仿宋_GB2312" w:cs="仿宋_GB2312"/>
          <w:sz w:val="30"/>
          <w:szCs w:val="30"/>
          <w:lang w:eastAsia="zh-CN"/>
        </w:rPr>
        <w:t>。</w:t>
      </w:r>
    </w:p>
    <w:p>
      <w:pPr>
        <w:snapToGrid w:val="0"/>
        <w:spacing w:line="560" w:lineRule="exact"/>
        <w:ind w:firstLine="602" w:firstLineChars="200"/>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（二）公用经费 10.32万元。</w:t>
      </w:r>
      <w:r>
        <w:rPr>
          <w:rFonts w:hint="eastAsia" w:ascii="仿宋_GB2312" w:hAnsi="仿宋_GB2312" w:eastAsia="仿宋_GB2312" w:cs="仿宋_GB2312"/>
          <w:sz w:val="30"/>
          <w:szCs w:val="30"/>
        </w:rPr>
        <w:t>主要包括：办公费</w:t>
      </w:r>
      <w:r>
        <w:rPr>
          <w:rFonts w:hint="eastAsia" w:ascii="仿宋_GB2312" w:hAnsi="仿宋_GB2312" w:eastAsia="仿宋_GB2312" w:cs="仿宋_GB2312"/>
          <w:sz w:val="30"/>
          <w:szCs w:val="30"/>
          <w:lang w:val="en-US" w:eastAsia="zh-CN"/>
        </w:rPr>
        <w:t>0.7万元</w:t>
      </w:r>
      <w:r>
        <w:rPr>
          <w:rFonts w:hint="eastAsia" w:ascii="仿宋_GB2312" w:hAnsi="仿宋_GB2312" w:eastAsia="仿宋_GB2312" w:cs="仿宋_GB2312"/>
          <w:sz w:val="30"/>
          <w:szCs w:val="30"/>
        </w:rPr>
        <w:t>、差旅费</w:t>
      </w:r>
      <w:r>
        <w:rPr>
          <w:rFonts w:hint="eastAsia" w:ascii="仿宋_GB2312" w:hAnsi="仿宋_GB2312" w:eastAsia="仿宋_GB2312" w:cs="仿宋_GB2312"/>
          <w:sz w:val="30"/>
          <w:szCs w:val="30"/>
          <w:lang w:val="en-US" w:eastAsia="zh-CN"/>
        </w:rPr>
        <w:t>0.87万元</w:t>
      </w:r>
      <w:r>
        <w:rPr>
          <w:rFonts w:hint="eastAsia" w:ascii="仿宋_GB2312" w:hAnsi="仿宋_GB2312" w:eastAsia="仿宋_GB2312" w:cs="仿宋_GB2312"/>
          <w:sz w:val="30"/>
          <w:szCs w:val="30"/>
        </w:rPr>
        <w:t>、维修（护）费</w:t>
      </w:r>
      <w:r>
        <w:rPr>
          <w:rFonts w:hint="eastAsia" w:ascii="仿宋_GB2312" w:hAnsi="仿宋_GB2312" w:eastAsia="仿宋_GB2312" w:cs="仿宋_GB2312"/>
          <w:sz w:val="30"/>
          <w:szCs w:val="30"/>
          <w:lang w:val="en-US" w:eastAsia="zh-CN"/>
        </w:rPr>
        <w:t>0.07万元</w:t>
      </w:r>
      <w:r>
        <w:rPr>
          <w:rFonts w:hint="eastAsia" w:ascii="仿宋_GB2312" w:hAnsi="仿宋_GB2312" w:eastAsia="仿宋_GB2312" w:cs="仿宋_GB2312"/>
          <w:sz w:val="30"/>
          <w:szCs w:val="30"/>
        </w:rPr>
        <w:t>、培训费</w:t>
      </w:r>
      <w:r>
        <w:rPr>
          <w:rFonts w:hint="eastAsia" w:ascii="仿宋_GB2312" w:hAnsi="仿宋_GB2312" w:eastAsia="仿宋_GB2312" w:cs="仿宋_GB2312"/>
          <w:sz w:val="30"/>
          <w:szCs w:val="30"/>
          <w:lang w:val="en-US" w:eastAsia="zh-CN"/>
        </w:rPr>
        <w:t>0.02万元</w:t>
      </w:r>
      <w:r>
        <w:rPr>
          <w:rFonts w:hint="eastAsia" w:ascii="仿宋_GB2312" w:hAnsi="仿宋_GB2312" w:eastAsia="仿宋_GB2312" w:cs="仿宋_GB2312"/>
          <w:sz w:val="30"/>
          <w:szCs w:val="30"/>
        </w:rPr>
        <w:t>、劳务费</w:t>
      </w:r>
      <w:r>
        <w:rPr>
          <w:rFonts w:hint="eastAsia" w:ascii="仿宋_GB2312" w:hAnsi="仿宋_GB2312" w:eastAsia="仿宋_GB2312" w:cs="仿宋_GB2312"/>
          <w:sz w:val="30"/>
          <w:szCs w:val="30"/>
          <w:lang w:val="en-US" w:eastAsia="zh-CN"/>
        </w:rPr>
        <w:t>0.2万元</w:t>
      </w:r>
      <w:r>
        <w:rPr>
          <w:rFonts w:hint="eastAsia" w:ascii="仿宋_GB2312" w:hAnsi="仿宋_GB2312" w:eastAsia="仿宋_GB2312" w:cs="仿宋_GB2312"/>
          <w:sz w:val="30"/>
          <w:szCs w:val="30"/>
        </w:rPr>
        <w:t>、工会经费</w:t>
      </w:r>
      <w:r>
        <w:rPr>
          <w:rFonts w:hint="eastAsia" w:ascii="仿宋_GB2312" w:hAnsi="仿宋_GB2312" w:eastAsia="仿宋_GB2312" w:cs="仿宋_GB2312"/>
          <w:sz w:val="30"/>
          <w:szCs w:val="30"/>
          <w:lang w:val="en-US" w:eastAsia="zh-CN"/>
        </w:rPr>
        <w:t>1.36万元</w:t>
      </w:r>
      <w:r>
        <w:rPr>
          <w:rFonts w:hint="eastAsia" w:ascii="仿宋_GB2312" w:hAnsi="仿宋_GB2312" w:eastAsia="仿宋_GB2312" w:cs="仿宋_GB2312"/>
          <w:sz w:val="30"/>
          <w:szCs w:val="30"/>
        </w:rPr>
        <w:t>、福利费</w:t>
      </w:r>
      <w:r>
        <w:rPr>
          <w:rFonts w:hint="eastAsia" w:ascii="仿宋_GB2312" w:hAnsi="仿宋_GB2312" w:eastAsia="仿宋_GB2312" w:cs="仿宋_GB2312"/>
          <w:sz w:val="30"/>
          <w:szCs w:val="30"/>
          <w:lang w:val="en-US" w:eastAsia="zh-CN"/>
        </w:rPr>
        <w:t>1.92万元</w:t>
      </w:r>
      <w:r>
        <w:rPr>
          <w:rFonts w:hint="eastAsia" w:ascii="仿宋_GB2312" w:hAnsi="仿宋_GB2312" w:eastAsia="仿宋_GB2312" w:cs="仿宋_GB2312"/>
          <w:sz w:val="30"/>
          <w:szCs w:val="30"/>
        </w:rPr>
        <w:t>、其他交通费用</w:t>
      </w:r>
      <w:r>
        <w:rPr>
          <w:rFonts w:hint="eastAsia" w:ascii="仿宋_GB2312" w:hAnsi="仿宋_GB2312" w:eastAsia="仿宋_GB2312" w:cs="仿宋_GB2312"/>
          <w:sz w:val="30"/>
          <w:szCs w:val="30"/>
          <w:lang w:val="en-US" w:eastAsia="zh-CN"/>
        </w:rPr>
        <w:t>5.19万元</w:t>
      </w:r>
      <w:r>
        <w:rPr>
          <w:rFonts w:hint="eastAsia" w:ascii="仿宋_GB2312" w:hAnsi="仿宋_GB2312" w:eastAsia="仿宋_GB2312" w:cs="仿宋_GB2312"/>
          <w:sz w:val="30"/>
          <w:szCs w:val="30"/>
          <w:lang w:eastAsia="zh-CN"/>
        </w:rPr>
        <w:t>。</w:t>
      </w:r>
    </w:p>
    <w:p>
      <w:pPr>
        <w:widowControl/>
        <w:spacing w:before="240" w:after="240"/>
        <w:ind w:firstLine="393"/>
        <w:jc w:val="left"/>
        <w:rPr>
          <w:rFonts w:ascii="黑体" w:hAnsi="黑体" w:eastAsia="黑体" w:cs="黑体"/>
          <w:b/>
          <w:bCs/>
          <w:kern w:val="0"/>
          <w:sz w:val="27"/>
          <w:szCs w:val="27"/>
        </w:rPr>
      </w:pPr>
      <w:r>
        <w:rPr>
          <w:rFonts w:ascii="黑体" w:hAnsi="黑体" w:eastAsia="黑体" w:cs="黑体"/>
          <w:b/>
          <w:bCs/>
          <w:kern w:val="0"/>
          <w:sz w:val="27"/>
          <w:szCs w:val="27"/>
        </w:rPr>
        <w:t>七、一般公共预算财政拨款项目支出决算情况说明</w:t>
      </w:r>
    </w:p>
    <w:p>
      <w:pPr>
        <w:widowControl/>
        <w:spacing w:before="240" w:after="240"/>
        <w:jc w:val="left"/>
        <w:rPr>
          <w:rFonts w:hint="eastAsia" w:ascii="仿宋_GB2312" w:hAnsi="仿宋_GB2312" w:eastAsia="仿宋_GB2312" w:cs="仿宋_GB2312"/>
          <w:sz w:val="30"/>
          <w:szCs w:val="30"/>
        </w:rPr>
      </w:pPr>
      <w:r>
        <w:rPr>
          <w:rFonts w:ascii="仿宋_GB2312" w:hAnsi="仿宋_GB2312" w:eastAsia="仿宋_GB2312" w:cs="仿宋_GB2312"/>
          <w:kern w:val="0"/>
          <w:sz w:val="27"/>
          <w:szCs w:val="27"/>
        </w:rPr>
        <w:t xml:space="preserve">  </w:t>
      </w:r>
      <w:r>
        <w:rPr>
          <w:rFonts w:hint="eastAsia" w:ascii="仿宋_GB2312" w:hAnsi="仿宋_GB2312" w:eastAsia="仿宋_GB2312" w:cs="仿宋_GB2312"/>
          <w:sz w:val="30"/>
          <w:szCs w:val="30"/>
        </w:rPr>
        <w:t>  乌海市土地收购储备中心 2024年度一般公共预算财政拨款项目支出决算 3.80万元，其中：</w:t>
      </w:r>
    </w:p>
    <w:p>
      <w:pPr>
        <w:widowControl/>
        <w:spacing w:before="240" w:after="240"/>
        <w:ind w:firstLine="602"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lang w:eastAsia="zh-CN"/>
        </w:rPr>
        <w:t>（一）</w:t>
      </w:r>
      <w:r>
        <w:rPr>
          <w:rFonts w:hint="eastAsia" w:ascii="仿宋_GB2312" w:hAnsi="仿宋_GB2312" w:eastAsia="仿宋_GB2312" w:cs="仿宋_GB2312"/>
          <w:b/>
          <w:bCs/>
          <w:sz w:val="30"/>
          <w:szCs w:val="30"/>
        </w:rPr>
        <w:t>工资福利支出 0万元。</w:t>
      </w:r>
      <w:r>
        <w:rPr>
          <w:rFonts w:hint="eastAsia" w:ascii="仿宋_GB2312" w:hAnsi="仿宋_GB2312" w:eastAsia="仿宋_GB2312" w:cs="仿宋_GB2312"/>
          <w:sz w:val="30"/>
          <w:szCs w:val="30"/>
        </w:rPr>
        <w:t>主要包括：</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 xml:space="preserve">    </w:t>
      </w:r>
    </w:p>
    <w:p>
      <w:pPr>
        <w:widowControl/>
        <w:spacing w:before="240" w:after="240"/>
        <w:ind w:firstLine="602" w:firstLineChars="200"/>
        <w:jc w:val="left"/>
        <w:rPr>
          <w:rFonts w:ascii="Times New Roman" w:hAnsi="Times New Roman" w:eastAsia="Times New Roman" w:cs="Times New Roman"/>
          <w:kern w:val="0"/>
          <w:sz w:val="24"/>
        </w:rPr>
      </w:pPr>
      <w:r>
        <w:rPr>
          <w:rFonts w:hint="eastAsia" w:ascii="仿宋_GB2312" w:hAnsi="仿宋_GB2312" w:eastAsia="仿宋_GB2312" w:cs="仿宋_GB2312"/>
          <w:b/>
          <w:bCs/>
          <w:sz w:val="30"/>
          <w:szCs w:val="30"/>
        </w:rPr>
        <w:t>（二）商品和服务支出 3.80万元。</w:t>
      </w:r>
      <w:r>
        <w:rPr>
          <w:rFonts w:hint="eastAsia" w:ascii="仿宋_GB2312" w:hAnsi="仿宋_GB2312" w:eastAsia="仿宋_GB2312" w:cs="仿宋_GB2312"/>
          <w:sz w:val="30"/>
          <w:szCs w:val="30"/>
        </w:rPr>
        <w:t>主要包括：委托业务费</w:t>
      </w:r>
      <w:r>
        <w:rPr>
          <w:rFonts w:hint="eastAsia" w:ascii="仿宋_GB2312" w:hAnsi="仿宋_GB2312" w:eastAsia="仿宋_GB2312" w:cs="仿宋_GB2312"/>
          <w:sz w:val="30"/>
          <w:szCs w:val="30"/>
          <w:lang w:val="en-US" w:eastAsia="zh-CN"/>
        </w:rPr>
        <w:t>3.8万元</w:t>
      </w:r>
      <w:r>
        <w:rPr>
          <w:rFonts w:hint="eastAsia" w:ascii="仿宋_GB2312" w:hAnsi="仿宋_GB2312" w:eastAsia="仿宋_GB2312" w:cs="仿宋_GB2312"/>
          <w:sz w:val="30"/>
          <w:szCs w:val="30"/>
          <w:lang w:eastAsia="zh-CN"/>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pPr>
        <w:widowControl/>
        <w:spacing w:before="240" w:after="240"/>
        <w:jc w:val="left"/>
        <w:rPr>
          <w:rFonts w:hint="eastAsia" w:ascii="仿宋_GB2312" w:hAnsi="仿宋_GB2312" w:eastAsia="仿宋_GB2312" w:cs="仿宋_GB2312"/>
          <w:kern w:val="0"/>
          <w:sz w:val="30"/>
          <w:szCs w:val="30"/>
          <w:lang w:eastAsia="zh-CN"/>
        </w:rPr>
      </w:pPr>
      <w:r>
        <w:rPr>
          <w:rFonts w:ascii="kai_ti_gb2312" w:hAnsi="kai_ti_gb2312" w:eastAsia="kai_ti_gb2312" w:cs="kai_ti_gb2312"/>
          <w:b/>
          <w:bCs/>
          <w:kern w:val="0"/>
          <w:sz w:val="27"/>
          <w:szCs w:val="27"/>
        </w:rPr>
        <w:t>   </w:t>
      </w:r>
      <w:r>
        <w:rPr>
          <w:rFonts w:hint="eastAsia" w:ascii="仿宋_GB2312" w:hAnsi="仿宋_GB2312" w:eastAsia="仿宋_GB2312" w:cs="仿宋_GB2312"/>
          <w:b/>
          <w:bCs/>
          <w:kern w:val="0"/>
          <w:sz w:val="30"/>
          <w:szCs w:val="30"/>
        </w:rPr>
        <w:t xml:space="preserve"> （一）财政拨款“三公”经费支出总体情况说明</w:t>
      </w:r>
      <w:r>
        <w:rPr>
          <w:rFonts w:hint="eastAsia" w:ascii="仿宋_GB2312" w:hAnsi="仿宋_GB2312" w:eastAsia="仿宋_GB2312" w:cs="仿宋_GB2312"/>
          <w:b/>
          <w:bCs/>
          <w:kern w:val="0"/>
          <w:sz w:val="30"/>
          <w:szCs w:val="30"/>
          <w:lang w:eastAsia="zh-CN"/>
        </w:rPr>
        <w:t>。</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2024年度财政拨款“三公”经费全年预算 0万元，支出决算 0万元，完成预算的 0%。其中：因公出国（境）费全年预算 0万元，支出决算 0万元，完成预算的 0%；公务用车购置及运行维护费全年预算 0万元，支出决算 0万元，完成预算的 0%；公务接待费全年预算 0万元，支出决算 0万元，完成预算的 0%。2024年度一般公共预算财政拨款“三公”经费全年预算 0万元，支出决算 0万元，与预算差异原因与上年相比无变动。</w:t>
      </w:r>
    </w:p>
    <w:p>
      <w:pPr>
        <w:snapToGrid w:val="0"/>
        <w:spacing w:line="560" w:lineRule="exact"/>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（二）财政拨款“三公”经费支出具体情况说明。</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2024年度财政拨款“三公”经费支出 0万元。因公出国（境）费支出 0万元，占 0%；公务用车购置及运行维护费支出 0万元，占 0%；公务接待费支出 0万元，占 0%。其中：</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1.因公出国（境）费支出 0万元，全年出国（境）团组0 个，累计0 人次。与上年决算相比，增加 0万元，增长 0%，变动原因：与上年相比无变动。</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2.公务用车购置及运行维护费支出 0万元。其中：</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（1）公务用车购置支出 0万元。本年度使用财政拨款购置公务用车0 辆，开支内容：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。与上年决算相比，增加 0万元，增长 0%，变动原因：与上年相比无变动。</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（2）公务用车运行维护费支出 0万元。公务用车运行维护费主要用于按规定保留的公务用车的燃料费、维修费、过桥过路费、保险费、安全奖励费用等支出。截至2024年12月31日，使用财政拨款开支的公务用车保有量为0 辆。与上年决算相比，增加 0万元，增长 0%，变动原因：与上年相比无变动。</w:t>
      </w:r>
    </w:p>
    <w:p>
      <w:pPr>
        <w:snapToGrid w:val="0"/>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3.公务接待费支出 0万元。其中：国内公务接待支出 0万元，接待0 批次，0 人次，开支内容：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；国（境）外公务接待支出 0万元，接待0 批次，0 人次，开支内容：</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。与上年决算相比，增加 0万元，增长0%，变动原因：与上年相比无变动。</w:t>
      </w:r>
    </w:p>
    <w:p>
      <w:pPr>
        <w:snapToGrid w:val="0"/>
        <w:spacing w:line="560" w:lineRule="exact"/>
        <w:ind w:firstLine="542" w:firstLineChars="200"/>
        <w:rPr>
          <w:rFonts w:ascii="Times New Roman" w:hAnsi="Times New Roman" w:eastAsia="Times New Roman" w:cs="Times New Roman"/>
          <w:kern w:val="0"/>
          <w:sz w:val="24"/>
        </w:rPr>
      </w:pPr>
      <w:r>
        <w:rPr>
          <w:rFonts w:ascii="黑体" w:hAnsi="黑体" w:eastAsia="黑体" w:cs="黑体"/>
          <w:b/>
          <w:bCs/>
          <w:kern w:val="0"/>
          <w:sz w:val="27"/>
          <w:szCs w:val="27"/>
        </w:rPr>
        <w:t xml:space="preserve"> 九、政府性基金预算财政拨款支出决算情况说明</w:t>
      </w:r>
    </w:p>
    <w:p>
      <w:pPr>
        <w:widowControl/>
        <w:spacing w:before="240" w:after="240"/>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2024年度政府性基金预算财政拨款支出决算 0万元。与上年决算相比，增加 0万元，增长 0%，变动原因：本年无政府性基金预算财政拨款收、支、余。</w:t>
      </w:r>
    </w:p>
    <w:p>
      <w:pPr>
        <w:widowControl/>
        <w:numPr>
          <w:ilvl w:val="0"/>
          <w:numId w:val="4"/>
        </w:numPr>
        <w:spacing w:before="240" w:after="240"/>
        <w:ind w:left="393" w:leftChars="0" w:firstLine="0" w:firstLineChars="0"/>
        <w:jc w:val="left"/>
        <w:rPr>
          <w:rFonts w:ascii="黑体" w:hAnsi="黑体" w:eastAsia="黑体" w:cs="黑体"/>
          <w:b/>
          <w:bCs/>
          <w:kern w:val="0"/>
          <w:sz w:val="27"/>
          <w:szCs w:val="27"/>
        </w:rPr>
      </w:pPr>
      <w:r>
        <w:rPr>
          <w:rFonts w:ascii="黑体" w:hAnsi="黑体" w:eastAsia="黑体" w:cs="黑体"/>
          <w:b/>
          <w:bCs/>
          <w:kern w:val="0"/>
          <w:sz w:val="27"/>
          <w:szCs w:val="27"/>
        </w:rPr>
        <w:t>国有资本经营预算财政拨款支出决算情况说明</w:t>
      </w:r>
    </w:p>
    <w:p>
      <w:pPr>
        <w:widowControl/>
        <w:numPr>
          <w:ilvl w:val="0"/>
          <w:numId w:val="0"/>
        </w:numPr>
        <w:spacing w:before="240" w:after="24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2024年度国有资本经营预算财政拨款支出决算 0万元。与上年决算相比，增加（减少） 0万元，增长（下降） 0%，变动原因：本年无国有资本经营预算财政拨款收、支、余。</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十一、机关运行经费（公用经费）支出决算情况说明</w:t>
      </w:r>
    </w:p>
    <w:p>
      <w:pPr>
        <w:widowControl/>
        <w:spacing w:before="240" w:after="240"/>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2024年度公用经费支出决算 10.32万元，与上年决算相比，增加 1.10万元，增长 11.91%，变动原因：单位</w:t>
      </w:r>
      <w:r>
        <w:rPr>
          <w:rFonts w:hint="eastAsia" w:ascii="仿宋_GB2312" w:hAnsi="仿宋_GB2312" w:eastAsia="仿宋_GB2312" w:cs="仿宋_GB2312"/>
          <w:sz w:val="30"/>
          <w:szCs w:val="30"/>
          <w:lang w:eastAsia="zh-CN"/>
        </w:rPr>
        <w:t>新增在职</w:t>
      </w:r>
      <w:r>
        <w:rPr>
          <w:rFonts w:hint="eastAsia" w:ascii="仿宋_GB2312" w:hAnsi="仿宋_GB2312" w:eastAsia="仿宋_GB2312" w:cs="仿宋_GB2312"/>
          <w:sz w:val="30"/>
          <w:szCs w:val="30"/>
        </w:rPr>
        <w:t>人员</w:t>
      </w:r>
      <w:r>
        <w:rPr>
          <w:rFonts w:hint="eastAsia" w:ascii="仿宋_GB2312" w:hAnsi="仿宋_GB2312" w:eastAsia="仿宋_GB2312" w:cs="仿宋_GB2312"/>
          <w:sz w:val="30"/>
          <w:szCs w:val="30"/>
          <w:lang w:eastAsia="zh-CN"/>
        </w:rPr>
        <w:t>，公用经费支出增加</w:t>
      </w:r>
      <w:r>
        <w:rPr>
          <w:rFonts w:hint="eastAsia" w:ascii="仿宋_GB2312" w:hAnsi="仿宋_GB2312" w:eastAsia="仿宋_GB2312" w:cs="仿宋_GB2312"/>
          <w:sz w:val="30"/>
          <w:szCs w:val="30"/>
        </w:rPr>
        <w:t>。其中，机关运行经费支出决算 10.32万元。比上年决算相比，增加 1.10万元，增长11.91%，变动原因：</w:t>
      </w:r>
      <w:r>
        <w:rPr>
          <w:rFonts w:hint="eastAsia" w:ascii="仿宋_GB2312" w:hAnsi="仿宋_GB2312" w:eastAsia="仿宋_GB2312" w:cs="仿宋_GB2312"/>
          <w:sz w:val="30"/>
          <w:szCs w:val="30"/>
          <w:lang w:eastAsia="zh-CN"/>
        </w:rPr>
        <w:t>单位业务量增加，机关运行经费增加</w:t>
      </w:r>
      <w:r>
        <w:rPr>
          <w:rFonts w:hint="eastAsia" w:ascii="仿宋_GB2312" w:hAnsi="仿宋_GB2312" w:eastAsia="仿宋_GB2312" w:cs="仿宋_GB2312"/>
          <w:sz w:val="30"/>
          <w:szCs w:val="30"/>
        </w:rPr>
        <w:t>。</w:t>
      </w:r>
    </w:p>
    <w:p>
      <w:pPr>
        <w:widowControl/>
        <w:spacing w:before="240" w:after="240"/>
        <w:rPr>
          <w:rFonts w:ascii="Times New Roman" w:hAnsi="Times New Roman" w:eastAsia="Times New Roman" w:cs="Times New Roman"/>
          <w:kern w:val="0"/>
          <w:sz w:val="24"/>
        </w:rPr>
      </w:pPr>
      <w:r>
        <w:rPr>
          <w:rFonts w:ascii="仿宋_GB2312" w:hAnsi="仿宋_GB2312" w:eastAsia="仿宋_GB2312" w:cs="仿宋_GB2312"/>
          <w:color w:val="1200FF"/>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kern w:val="0"/>
          <w:sz w:val="27"/>
          <w:szCs w:val="27"/>
        </w:rPr>
        <w:t>   </w:t>
      </w:r>
      <w:r>
        <w:rPr>
          <w:rFonts w:hint="eastAsia" w:ascii="仿宋_GB2312" w:hAnsi="仿宋_GB2312" w:eastAsia="仿宋_GB2312" w:cs="仿宋_GB2312"/>
          <w:sz w:val="30"/>
          <w:szCs w:val="30"/>
        </w:rPr>
        <w:t xml:space="preserve"> 乌海市土地收购储备中心 2024年度政府采购支出总额 0万元，其中：政府采购货物支出 0万元、政府采购工程支出 0万元、政府采购服务支出 0万元。政府采购授予中小企业合同金额 0万元，占政府采购支出总额的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%，其中：授予小微企业合同金额  0万元，占政府采购支出总额的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%；货物采购授予中小企业合同金额占货物支出金额的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%，工程采购授予中小企业合同金额占工程支出金额的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%，服务采购授予中小企业合同金额占服务支出金额的</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kern w:val="0"/>
          <w:sz w:val="27"/>
          <w:szCs w:val="27"/>
        </w:rPr>
        <w:t>   </w:t>
      </w: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乌海市土地收购储备中心 截至2024年12月31日，本部门（单位）共有车辆 0辆，其中：副部（省）级及以上领导用车0 辆、主要负责人用车 0辆、机要通信用车 0辆、应急保障用车 0辆、执法执勤用车 0辆、特种专业技术用车 0辆、离退休干部服务用车 0辆，其他用车 0辆；单价100万元（含）以上的设备（不含车辆） 0台（套）。</w:t>
      </w:r>
    </w:p>
    <w:p>
      <w:pPr>
        <w:widowControl/>
        <w:spacing w:before="240" w:after="240"/>
        <w:ind w:firstLine="542" w:firstLineChars="200"/>
        <w:jc w:val="left"/>
        <w:rPr>
          <w:rFonts w:ascii="Times New Roman" w:hAnsi="Times New Roman" w:eastAsia="Times New Roman" w:cs="Times New Roman"/>
          <w:kern w:val="0"/>
          <w:sz w:val="24"/>
        </w:rPr>
      </w:pPr>
      <w:r>
        <w:rPr>
          <w:rFonts w:ascii="黑体" w:hAnsi="黑体" w:eastAsia="黑体" w:cs="黑体"/>
          <w:b/>
          <w:bCs/>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pPr>
        <w:widowControl/>
        <w:spacing w:before="240" w:after="240"/>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乌海市土地收购储备中心 根据预算绩效管理要求组织对2024年一般公共预算项目支出全面开展绩效自评，其中一级项目</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个，二级项目</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个，共涉及资金</w:t>
      </w:r>
      <w:r>
        <w:rPr>
          <w:rFonts w:hint="eastAsia" w:ascii="仿宋_GB2312" w:hAnsi="仿宋_GB2312" w:eastAsia="仿宋_GB2312" w:cs="仿宋_GB2312"/>
          <w:sz w:val="30"/>
          <w:szCs w:val="30"/>
          <w:lang w:val="en-US" w:eastAsia="zh-CN"/>
        </w:rPr>
        <w:t>8.67</w:t>
      </w:r>
      <w:r>
        <w:rPr>
          <w:rFonts w:hint="eastAsia" w:ascii="仿宋_GB2312" w:hAnsi="仿宋_GB2312" w:eastAsia="仿宋_GB2312" w:cs="仿宋_GB2312"/>
          <w:sz w:val="30"/>
          <w:szCs w:val="30"/>
        </w:rPr>
        <w:t>万元，占一般公共预算项目支出总额的100%</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 xml:space="preserve">    </w:t>
      </w:r>
    </w:p>
    <w:p>
      <w:pPr>
        <w:widowControl/>
        <w:spacing w:before="240" w:after="240"/>
        <w:ind w:firstLine="600" w:firstLineChars="200"/>
        <w:rPr>
          <w:rFonts w:hint="default" w:ascii="仿宋_GB2312" w:hAnsi="仿宋_GB2312" w:eastAsia="仿宋_GB2312" w:cs="仿宋_GB2312"/>
          <w:kern w:val="0"/>
          <w:sz w:val="30"/>
          <w:szCs w:val="30"/>
          <w:u w:val="none"/>
        </w:rPr>
      </w:pPr>
      <w:r>
        <w:rPr>
          <w:rFonts w:hint="eastAsia" w:ascii="仿宋_GB2312" w:hAnsi="仿宋_GB2312" w:eastAsia="仿宋_GB2312" w:cs="仿宋_GB2312"/>
          <w:kern w:val="0"/>
          <w:sz w:val="30"/>
          <w:szCs w:val="30"/>
          <w:u w:val="none"/>
        </w:rPr>
        <w:t>本单位202</w:t>
      </w:r>
      <w:r>
        <w:rPr>
          <w:rFonts w:hint="eastAsia" w:ascii="仿宋_GB2312" w:hAnsi="仿宋_GB2312" w:eastAsia="仿宋_GB2312" w:cs="仿宋_GB2312"/>
          <w:kern w:val="0"/>
          <w:sz w:val="30"/>
          <w:szCs w:val="30"/>
          <w:u w:val="none"/>
          <w:lang w:val="en-US" w:eastAsia="zh-CN"/>
        </w:rPr>
        <w:t>4</w:t>
      </w:r>
      <w:r>
        <w:rPr>
          <w:rFonts w:hint="eastAsia" w:ascii="仿宋_GB2312" w:hAnsi="仿宋_GB2312" w:eastAsia="仿宋_GB2312" w:cs="仿宋_GB2312"/>
          <w:kern w:val="0"/>
          <w:sz w:val="30"/>
          <w:szCs w:val="30"/>
          <w:u w:val="none"/>
        </w:rPr>
        <w:t>年未开展重点项目绩效评价。</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color w:val="000000"/>
          <w:kern w:val="0"/>
          <w:sz w:val="27"/>
          <w:szCs w:val="27"/>
        </w:rPr>
        <w:t>    （二）单位决算中项目绩效自评结果。</w:t>
      </w:r>
    </w:p>
    <w:p>
      <w:pPr>
        <w:widowControl/>
        <w:spacing w:before="240" w:after="240"/>
        <w:rPr>
          <w:rFonts w:hint="eastAsia" w:ascii="仿宋_GB2312" w:hAnsi="仿宋_GB2312" w:eastAsia="仿宋_GB2312" w:cs="仿宋_GB2312"/>
          <w:sz w:val="30"/>
          <w:szCs w:val="30"/>
        </w:rPr>
      </w:pPr>
      <w:r>
        <w:rPr>
          <w:rFonts w:ascii="仿宋_GB2312" w:hAnsi="仿宋_GB2312" w:eastAsia="仿宋_GB2312" w:cs="仿宋_GB2312"/>
          <w:color w:val="000000"/>
          <w:kern w:val="0"/>
          <w:sz w:val="27"/>
          <w:szCs w:val="27"/>
        </w:rPr>
        <w:t xml:space="preserve">    </w:t>
      </w:r>
      <w:r>
        <w:rPr>
          <w:rFonts w:hint="eastAsia" w:ascii="仿宋_GB2312" w:hAnsi="仿宋_GB2312" w:eastAsia="仿宋_GB2312" w:cs="仿宋_GB2312"/>
          <w:sz w:val="30"/>
          <w:szCs w:val="30"/>
        </w:rPr>
        <w:t>乌海市土地收购储备中心 2024年度在决算中反映</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个一般公共预算项目，共</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个项目的绩效自评结果。</w:t>
      </w:r>
    </w:p>
    <w:p>
      <w:pPr>
        <w:keepNext w:val="0"/>
        <w:keepLines w:val="0"/>
        <w:pageBreakBefore w:val="0"/>
        <w:widowControl w:val="0"/>
        <w:kinsoku/>
        <w:wordWrap/>
        <w:overflowPunct/>
        <w:topLinePunct/>
        <w:autoSpaceDE/>
        <w:autoSpaceDN/>
        <w:bidi w:val="0"/>
        <w:adjustRightInd/>
        <w:snapToGrid/>
        <w:spacing w:line="520" w:lineRule="exact"/>
        <w:ind w:left="0" w:leftChars="0"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办公楼消防改造工程设计编制费项目自评综述：根据年初设定的绩效目标，</w:t>
      </w:r>
      <w:r>
        <w:rPr>
          <w:rFonts w:hint="eastAsia" w:ascii="仿宋_GB2312" w:hAnsi="仿宋_GB2312" w:eastAsia="仿宋_GB2312" w:cs="仿宋_GB2312"/>
          <w:sz w:val="30"/>
          <w:szCs w:val="30"/>
          <w:lang w:val="en-US" w:eastAsia="zh-CN"/>
        </w:rPr>
        <w:t>聘请三方公司编制完成《可行性研究报告》及《初步设计方案》，费用共计3.8万元，确保后期工程顺利开展。</w:t>
      </w:r>
    </w:p>
    <w:p>
      <w:pPr>
        <w:widowControl/>
        <w:spacing w:before="240" w:after="240"/>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项目绩效目标完成情况：此项目年中调整金额3.8万元，实际到位资金3.8万元，实际支出资金3.8万元，资金使用率100%。聘请三方公司编制完成《可行性研究报告》及《初步设计方案》，费用共计3.8万元，确保后期工程顺利开展。项目资金都是专款专用，无占用、挪用专项资金问题。资金使用规范，符合国家财经法规和财务管理以及有关专项资金管理办法的规定。同时坚持“三重一大”制度，严格按照相关管理制度，规范各项经费的开支。确保资金有效、合理、安全规范运行。我单位项目支出均有相关的授权审批，使用规范，会计核算结果真实、准确，财务资料完整。</w:t>
      </w:r>
    </w:p>
    <w:p>
      <w:pPr>
        <w:widowControl/>
        <w:spacing w:before="240" w:after="240"/>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发现的主要问题及原因：</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w:t>
      </w:r>
    </w:p>
    <w:p>
      <w:pPr>
        <w:widowControl/>
        <w:spacing w:before="240" w:after="240"/>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下一步改进措施：</w:t>
      </w:r>
      <w:r>
        <w:rPr>
          <w:rFonts w:hint="eastAsia" w:ascii="仿宋_GB2312" w:hAnsi="仿宋_GB2312" w:eastAsia="仿宋_GB2312" w:cs="仿宋_GB2312"/>
          <w:sz w:val="30"/>
          <w:szCs w:val="30"/>
          <w:lang w:eastAsia="zh-CN"/>
        </w:rPr>
        <w:t>无</w:t>
      </w:r>
      <w:r>
        <w:rPr>
          <w:rFonts w:hint="eastAsia" w:ascii="仿宋_GB2312" w:hAnsi="仿宋_GB2312" w:eastAsia="仿宋_GB2312" w:cs="仿宋_GB2312"/>
          <w:sz w:val="30"/>
          <w:szCs w:val="30"/>
        </w:rPr>
        <w:t>。</w:t>
      </w:r>
    </w:p>
    <w:p>
      <w:pPr>
        <w:widowControl/>
        <w:spacing w:before="240" w:after="240"/>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关于王芳、张占年过渡安置费</w:t>
      </w:r>
      <w:r>
        <w:rPr>
          <w:rFonts w:hint="default" w:ascii="仿宋_GB2312" w:hAnsi="仿宋_GB2312" w:eastAsia="仿宋_GB2312" w:cs="仿宋_GB2312"/>
          <w:sz w:val="30"/>
          <w:szCs w:val="30"/>
        </w:rPr>
        <w:t>项目</w:t>
      </w:r>
      <w:r>
        <w:rPr>
          <w:rFonts w:hint="eastAsia" w:ascii="仿宋_GB2312" w:hAnsi="仿宋_GB2312" w:eastAsia="仿宋_GB2312" w:cs="仿宋_GB2312"/>
          <w:sz w:val="30"/>
          <w:szCs w:val="30"/>
        </w:rPr>
        <w:t>自评综述：</w:t>
      </w:r>
      <w:r>
        <w:rPr>
          <w:rFonts w:hint="eastAsia" w:ascii="仿宋_GB2312" w:hAnsi="仿宋_GB2312" w:eastAsia="仿宋_GB2312" w:cs="仿宋_GB2312"/>
          <w:sz w:val="30"/>
          <w:szCs w:val="30"/>
          <w:lang w:eastAsia="zh-CN"/>
        </w:rPr>
        <w:t>根据年度设定的绩效目标，</w:t>
      </w:r>
      <w:r>
        <w:rPr>
          <w:rFonts w:hint="eastAsia" w:ascii="仿宋_GB2312" w:hAnsi="仿宋_GB2312" w:eastAsia="仿宋_GB2312" w:cs="仿宋_GB2312"/>
          <w:sz w:val="30"/>
          <w:szCs w:val="30"/>
          <w:lang w:val="en-US" w:eastAsia="zh-CN"/>
        </w:rPr>
        <w:t>2024年未完成支付王芳、张占年过渡安置费33个月，每月0.13万元，共计4.29万元，并将此款项在公证处进行公正提存。</w:t>
      </w:r>
    </w:p>
    <w:p>
      <w:pPr>
        <w:widowControl/>
        <w:spacing w:before="240" w:after="240"/>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项目绩效目标完成情况：该项目年度调整金额4.29万元，实际到位资金4.29万元，实际支出资金</w:t>
      </w:r>
      <w:r>
        <w:rPr>
          <w:rFonts w:hint="eastAsia" w:ascii="仿宋_GB2312" w:hAnsi="仿宋_GB2312" w:eastAsia="仿宋_GB2312" w:cs="仿宋_GB2312"/>
          <w:sz w:val="30"/>
          <w:szCs w:val="30"/>
          <w:lang w:val="en-US" w:eastAsia="zh-CN"/>
        </w:rPr>
        <w:t>0</w:t>
      </w:r>
      <w:r>
        <w:rPr>
          <w:rFonts w:hint="eastAsia" w:ascii="仿宋_GB2312" w:hAnsi="仿宋_GB2312" w:eastAsia="仿宋_GB2312" w:cs="仿宋_GB2312"/>
          <w:sz w:val="30"/>
          <w:szCs w:val="30"/>
        </w:rPr>
        <w:t>万元，资金使用率0%。</w:t>
      </w:r>
      <w:r>
        <w:rPr>
          <w:rFonts w:hint="eastAsia" w:ascii="仿宋_GB2312" w:hAnsi="仿宋_GB2312" w:eastAsia="仿宋_GB2312" w:cs="仿宋_GB2312"/>
          <w:sz w:val="30"/>
          <w:szCs w:val="30"/>
          <w:lang w:val="en-US" w:eastAsia="zh-CN"/>
        </w:rPr>
        <w:t>2024年未完成支付王芳、张占年过渡安置费33个月，每月0.13万元，共计4.29万元，并将此款项在公证处进行公正提存，因公证程序出现问题，无法完成支付。</w:t>
      </w:r>
      <w:r>
        <w:rPr>
          <w:rFonts w:hint="eastAsia" w:ascii="仿宋_GB2312" w:hAnsi="仿宋_GB2312" w:eastAsia="仿宋_GB2312" w:cs="仿宋_GB2312"/>
          <w:sz w:val="30"/>
          <w:szCs w:val="30"/>
        </w:rPr>
        <w:t>项目资金都是专款专用，无占用、挪用专项资金问题。资金使用规范，符合国家财经法规和财务管理以及有关专项资金管理办法的规定。同时坚持“三重一大”制度，严格按照相关管理制度，规范各项经费的开支。确保资金有效、合理、安全规范运行。我单位项目支出均有相关的授权审批，使用规范，会计核算结果真实、准确，财务资料完整。</w:t>
      </w:r>
    </w:p>
    <w:p>
      <w:pPr>
        <w:widowControl/>
        <w:spacing w:before="240" w:after="240"/>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发现的主要问题及原因：</w:t>
      </w:r>
      <w:r>
        <w:rPr>
          <w:rFonts w:hint="eastAsia" w:ascii="仿宋_GB2312" w:hAnsi="仿宋_GB2312" w:eastAsia="仿宋_GB2312" w:cs="仿宋_GB2312"/>
          <w:sz w:val="30"/>
          <w:szCs w:val="30"/>
          <w:lang w:eastAsia="zh-CN"/>
        </w:rPr>
        <w:t>因业务程序问题导致资金未顺利完成支付</w:t>
      </w:r>
      <w:r>
        <w:rPr>
          <w:rFonts w:hint="eastAsia" w:ascii="仿宋_GB2312" w:hAnsi="仿宋_GB2312" w:eastAsia="仿宋_GB2312" w:cs="仿宋_GB2312"/>
          <w:sz w:val="30"/>
          <w:szCs w:val="30"/>
        </w:rPr>
        <w:t>。</w:t>
      </w:r>
    </w:p>
    <w:p>
      <w:pPr>
        <w:widowControl/>
        <w:spacing w:before="240" w:after="240"/>
        <w:ind w:firstLine="600" w:firstLineChars="200"/>
        <w:rPr>
          <w:rFonts w:hint="default" w:ascii="仿宋_GB2312" w:hAnsi="仿宋_GB2312" w:eastAsia="仿宋_GB2312" w:cs="仿宋_GB2312"/>
          <w:sz w:val="30"/>
          <w:szCs w:val="30"/>
        </w:rPr>
      </w:pPr>
      <w:r>
        <w:rPr>
          <w:rFonts w:hint="eastAsia" w:ascii="仿宋_GB2312" w:hAnsi="仿宋_GB2312" w:eastAsia="仿宋_GB2312" w:cs="仿宋_GB2312"/>
          <w:sz w:val="30"/>
          <w:szCs w:val="30"/>
        </w:rPr>
        <w:t>下一步改进措施：进一步加强资金管理，确保资金分配合理，同时进行跟踪管理，及时发现和纠正预算执行过程中存在的专项资金挤占、挪用现象发生，定期审核，提高资金的使用效益。通过自评得分可以对项目决策提供科学有效地的信息，切实提升决策能力。进一步细化绩效指标，让指标内容更全面，指标赋值更合理，整体更具参考价值。</w:t>
      </w:r>
    </w:p>
    <w:tbl>
      <w:tblPr>
        <w:tblStyle w:val="19"/>
        <w:tblW w:w="9764" w:type="dxa"/>
        <w:tblInd w:w="0" w:type="dxa"/>
        <w:shd w:val="clear" w:color="auto" w:fill="auto"/>
        <w:tblLayout w:type="fixed"/>
        <w:tblCellMar>
          <w:top w:w="0" w:type="dxa"/>
          <w:left w:w="0" w:type="dxa"/>
          <w:bottom w:w="0" w:type="dxa"/>
          <w:right w:w="0" w:type="dxa"/>
        </w:tblCellMar>
      </w:tblPr>
      <w:tblGrid>
        <w:gridCol w:w="853"/>
        <w:gridCol w:w="853"/>
        <w:gridCol w:w="854"/>
        <w:gridCol w:w="790"/>
        <w:gridCol w:w="790"/>
        <w:gridCol w:w="790"/>
        <w:gridCol w:w="790"/>
        <w:gridCol w:w="790"/>
        <w:gridCol w:w="790"/>
        <w:gridCol w:w="790"/>
        <w:gridCol w:w="819"/>
        <w:gridCol w:w="855"/>
      </w:tblGrid>
      <w:tr>
        <w:tblPrEx>
          <w:shd w:val="clear" w:color="auto" w:fill="auto"/>
          <w:tblLayout w:type="fixed"/>
          <w:tblCellMar>
            <w:top w:w="0" w:type="dxa"/>
            <w:left w:w="0" w:type="dxa"/>
            <w:bottom w:w="0" w:type="dxa"/>
            <w:right w:w="0" w:type="dxa"/>
          </w:tblCellMar>
        </w:tblPrEx>
        <w:trPr>
          <w:trHeight w:val="960" w:hRule="atLeast"/>
        </w:trPr>
        <w:tc>
          <w:tcPr>
            <w:tcW w:w="9764"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(2024年度）</w:t>
            </w:r>
          </w:p>
        </w:tc>
      </w:tr>
      <w:tr>
        <w:tblPrEx>
          <w:tblLayout w:type="fixed"/>
          <w:tblCellMar>
            <w:top w:w="0" w:type="dxa"/>
            <w:left w:w="0" w:type="dxa"/>
            <w:bottom w:w="0" w:type="dxa"/>
            <w:right w:w="0" w:type="dxa"/>
          </w:tblCellMar>
        </w:tblPrEx>
        <w:trPr>
          <w:trHeight w:val="380" w:hRule="atLeast"/>
        </w:trPr>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058"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办公楼消防改造工程设计编制费</w:t>
            </w:r>
          </w:p>
        </w:tc>
      </w:tr>
      <w:tr>
        <w:tblPrEx>
          <w:tblLayout w:type="fixed"/>
          <w:tblCellMar>
            <w:top w:w="0" w:type="dxa"/>
            <w:left w:w="0" w:type="dxa"/>
            <w:bottom w:w="0" w:type="dxa"/>
            <w:right w:w="0" w:type="dxa"/>
          </w:tblCellMar>
        </w:tblPrEx>
        <w:trPr>
          <w:trHeight w:val="380" w:hRule="atLeast"/>
        </w:trPr>
        <w:tc>
          <w:tcPr>
            <w:tcW w:w="170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22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乌海市自然资源局（部门）</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5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乌海市土地收购储备中心</w:t>
            </w:r>
          </w:p>
        </w:tc>
      </w:tr>
      <w:tr>
        <w:tblPrEx>
          <w:tblLayout w:type="fixed"/>
          <w:tblCellMar>
            <w:top w:w="0" w:type="dxa"/>
            <w:left w:w="0" w:type="dxa"/>
            <w:bottom w:w="0" w:type="dxa"/>
            <w:right w:w="0" w:type="dxa"/>
          </w:tblCellMar>
        </w:tblPrEx>
        <w:trPr>
          <w:trHeight w:val="380" w:hRule="atLeast"/>
        </w:trPr>
        <w:tc>
          <w:tcPr>
            <w:tcW w:w="1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0" w:type="dxa"/>
            <w:bottom w:w="0" w:type="dxa"/>
            <w:right w:w="0" w:type="dxa"/>
          </w:tblCellMar>
        </w:tblPrEx>
        <w:trPr>
          <w:trHeight w:val="380" w:hRule="atLeast"/>
        </w:trPr>
        <w:tc>
          <w:tcPr>
            <w:tcW w:w="1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Layout w:type="fixed"/>
          <w:tblCellMar>
            <w:top w:w="0" w:type="dxa"/>
            <w:left w:w="0" w:type="dxa"/>
            <w:bottom w:w="0" w:type="dxa"/>
            <w:right w:w="0" w:type="dxa"/>
          </w:tblCellMar>
        </w:tblPrEx>
        <w:trPr>
          <w:trHeight w:val="380" w:hRule="atLeast"/>
        </w:trPr>
        <w:tc>
          <w:tcPr>
            <w:tcW w:w="1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8"/>
                <w:szCs w:val="18"/>
                <w:u w:val="none"/>
              </w:rPr>
            </w:pP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01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04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01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聘请三方公司编制完成《可行性研究报告》及《初步设计方案》，费用共计3.8万元，确保后期工程顺利开展。</w:t>
            </w:r>
          </w:p>
        </w:tc>
        <w:tc>
          <w:tcPr>
            <w:tcW w:w="404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聘请三方公司编制完成《可行性研究报告》及《初步设计方案》，费用共计3.8万元，确保后期工程顺利开展。</w:t>
            </w:r>
          </w:p>
        </w:tc>
      </w:tr>
      <w:tr>
        <w:tblPrEx>
          <w:tblLayout w:type="fixed"/>
          <w:tblCellMar>
            <w:top w:w="0" w:type="dxa"/>
            <w:left w:w="0" w:type="dxa"/>
            <w:bottom w:w="0" w:type="dxa"/>
            <w:right w:w="0" w:type="dxa"/>
          </w:tblCellMar>
        </w:tblPrEx>
        <w:trPr>
          <w:trHeight w:val="380" w:hRule="atLeast"/>
        </w:trPr>
        <w:tc>
          <w:tcPr>
            <w:tcW w:w="8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8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0" w:type="dxa"/>
            <w:bottom w:w="0" w:type="dxa"/>
            <w:right w:w="0" w:type="dxa"/>
          </w:tblCellMar>
        </w:tblPrEx>
        <w:trPr>
          <w:trHeight w:val="840" w:hRule="atLeast"/>
        </w:trPr>
        <w:tc>
          <w:tcPr>
            <w:tcW w:w="85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85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项目个数</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涉及办公楼个数</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完成建设工程消防设计审查验收遗留项目</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通过建设工程消防设计审查验收</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完成支付时间</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个月</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完成前期可研报告编制</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个月</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前期可行性研究报告编制费及初步设计方案编制费</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有效提高经费使用效率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保障单位正常运行</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保障运行</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保障运行</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持续发挥作用期限</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持续发挥</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持续发挥</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项目单位满意度度</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730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rPr>
          <w:rFonts w:ascii="仿宋_GB2312" w:hAnsi="仿宋_GB2312" w:eastAsia="仿宋_GB2312" w:cs="仿宋_GB2312"/>
          <w:color w:val="0E00FE"/>
          <w:kern w:val="0"/>
          <w:sz w:val="27"/>
          <w:szCs w:val="27"/>
        </w:rPr>
      </w:pPr>
    </w:p>
    <w:tbl>
      <w:tblPr>
        <w:tblStyle w:val="19"/>
        <w:tblW w:w="9764" w:type="dxa"/>
        <w:tblInd w:w="0" w:type="dxa"/>
        <w:shd w:val="clear" w:color="auto" w:fill="auto"/>
        <w:tblLayout w:type="fixed"/>
        <w:tblCellMar>
          <w:top w:w="0" w:type="dxa"/>
          <w:left w:w="0" w:type="dxa"/>
          <w:bottom w:w="0" w:type="dxa"/>
          <w:right w:w="0" w:type="dxa"/>
        </w:tblCellMar>
      </w:tblPr>
      <w:tblGrid>
        <w:gridCol w:w="853"/>
        <w:gridCol w:w="854"/>
        <w:gridCol w:w="854"/>
        <w:gridCol w:w="790"/>
        <w:gridCol w:w="790"/>
        <w:gridCol w:w="790"/>
        <w:gridCol w:w="790"/>
        <w:gridCol w:w="790"/>
        <w:gridCol w:w="790"/>
        <w:gridCol w:w="790"/>
        <w:gridCol w:w="819"/>
        <w:gridCol w:w="854"/>
      </w:tblGrid>
      <w:tr>
        <w:tblPrEx>
          <w:shd w:val="clear" w:color="auto" w:fill="auto"/>
          <w:tblLayout w:type="fixed"/>
          <w:tblCellMar>
            <w:top w:w="0" w:type="dxa"/>
            <w:left w:w="0" w:type="dxa"/>
            <w:bottom w:w="0" w:type="dxa"/>
            <w:right w:w="0" w:type="dxa"/>
          </w:tblCellMar>
        </w:tblPrEx>
        <w:trPr>
          <w:trHeight w:val="960" w:hRule="atLeast"/>
        </w:trPr>
        <w:tc>
          <w:tcPr>
            <w:tcW w:w="9764"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(2024年度）</w:t>
            </w:r>
          </w:p>
        </w:tc>
      </w:tr>
      <w:tr>
        <w:tblPrEx>
          <w:tblLayout w:type="fixed"/>
          <w:tblCellMar>
            <w:top w:w="0" w:type="dxa"/>
            <w:left w:w="0" w:type="dxa"/>
            <w:bottom w:w="0" w:type="dxa"/>
            <w:right w:w="0" w:type="dxa"/>
          </w:tblCellMar>
        </w:tblPrEx>
        <w:trPr>
          <w:trHeight w:val="380" w:hRule="atLeast"/>
        </w:trPr>
        <w:tc>
          <w:tcPr>
            <w:tcW w:w="170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057"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关于王芳、张占年过渡安置费</w:t>
            </w:r>
          </w:p>
        </w:tc>
      </w:tr>
      <w:tr>
        <w:tblPrEx>
          <w:tblLayout w:type="fixed"/>
          <w:tblCellMar>
            <w:top w:w="0" w:type="dxa"/>
            <w:left w:w="0" w:type="dxa"/>
            <w:bottom w:w="0" w:type="dxa"/>
            <w:right w:w="0" w:type="dxa"/>
          </w:tblCellMar>
        </w:tblPrEx>
        <w:trPr>
          <w:trHeight w:val="380" w:hRule="atLeast"/>
        </w:trPr>
        <w:tc>
          <w:tcPr>
            <w:tcW w:w="170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22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乌海市自然资源局（部门）</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53"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乌海市土地收购储备中心</w:t>
            </w:r>
          </w:p>
        </w:tc>
      </w:tr>
      <w:tr>
        <w:tblPrEx>
          <w:tblLayout w:type="fixed"/>
          <w:tblCellMar>
            <w:top w:w="0" w:type="dxa"/>
            <w:left w:w="0" w:type="dxa"/>
            <w:bottom w:w="0" w:type="dxa"/>
            <w:right w:w="0" w:type="dxa"/>
          </w:tblCellMar>
        </w:tblPrEx>
        <w:trPr>
          <w:trHeight w:val="380" w:hRule="atLeast"/>
        </w:trPr>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4.29</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4.29</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18"/>
                <w:szCs w:val="18"/>
                <w:u w:val="none"/>
              </w:rPr>
            </w:pP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79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tblPrEx>
          <w:tblLayout w:type="fixed"/>
          <w:tblCellMar>
            <w:top w:w="0" w:type="dxa"/>
            <w:left w:w="0" w:type="dxa"/>
            <w:bottom w:w="0" w:type="dxa"/>
            <w:right w:w="0" w:type="dxa"/>
          </w:tblCellMar>
        </w:tblPrEx>
        <w:trPr>
          <w:trHeight w:val="380" w:hRule="atLeast"/>
        </w:trPr>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01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04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Layout w:type="fixed"/>
          <w:tblCellMar>
            <w:top w:w="0" w:type="dxa"/>
            <w:left w:w="0" w:type="dxa"/>
            <w:bottom w:w="0" w:type="dxa"/>
            <w:right w:w="0" w:type="dxa"/>
          </w:tblCellMar>
        </w:tblPrEx>
        <w:trPr>
          <w:trHeight w:val="1120" w:hRule="atLeast"/>
        </w:trPr>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01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支付王芳、张占年过渡安置费33个月，每月0.13万元，共计4.29万元，并将此款项在公证处进行公正提存。</w:t>
            </w:r>
          </w:p>
        </w:tc>
        <w:tc>
          <w:tcPr>
            <w:tcW w:w="404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2024年未完成支付王芳、张占年过渡安置费33个月，每月0.13万元，共计4.29万元，并将此款项在公证处进行公正提存。</w:t>
            </w:r>
          </w:p>
        </w:tc>
      </w:tr>
      <w:tr>
        <w:tblPrEx>
          <w:tblLayout w:type="fixed"/>
          <w:tblCellMar>
            <w:top w:w="0" w:type="dxa"/>
            <w:left w:w="0" w:type="dxa"/>
            <w:bottom w:w="0" w:type="dxa"/>
            <w:right w:w="0" w:type="dxa"/>
          </w:tblCellMar>
        </w:tblPrEx>
        <w:trPr>
          <w:trHeight w:val="380" w:hRule="atLeast"/>
        </w:trPr>
        <w:tc>
          <w:tcPr>
            <w:tcW w:w="8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Layout w:type="fixed"/>
          <w:tblCellMar>
            <w:top w:w="0" w:type="dxa"/>
            <w:left w:w="0" w:type="dxa"/>
            <w:bottom w:w="0" w:type="dxa"/>
            <w:right w:w="0" w:type="dxa"/>
          </w:tblCellMar>
        </w:tblPrEx>
        <w:trPr>
          <w:trHeight w:val="840" w:hRule="atLeast"/>
        </w:trPr>
        <w:tc>
          <w:tcPr>
            <w:tcW w:w="85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项目个数</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过渡安置费月数</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个月</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确保过渡费发放合理</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合理</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合理</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确保过渡费发放公平</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公平</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公平</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过渡费发放及时</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及时</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未发放完成</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完成支付时间</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个月</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过渡安置费总金额</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4.29</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4.29</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过渡安置费每月金额</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0.13</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0.13</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有效提高经费使用效率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未完成</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积极推动信访积案化解</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积极推动</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未完成</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信访维稳工作</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持续稳定</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未完成</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85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信访人满意度</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840" w:hRule="atLeast"/>
        </w:trPr>
        <w:tc>
          <w:tcPr>
            <w:tcW w:w="7301"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85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w:t>
      </w:r>
      <w:r>
        <w:rPr>
          <w:rFonts w:hint="eastAsia" w:ascii="kai_ti_gb2312" w:hAnsi="kai_ti_gb2312" w:cs="kai_ti_gb2312"/>
          <w:b/>
          <w:bCs/>
          <w:kern w:val="0"/>
          <w:sz w:val="27"/>
          <w:szCs w:val="27"/>
          <w:lang w:eastAsia="zh-CN"/>
        </w:rPr>
        <w:t>单位</w:t>
      </w:r>
      <w:r>
        <w:rPr>
          <w:rFonts w:ascii="kai_ti_gb2312" w:hAnsi="kai_ti_gb2312" w:eastAsia="kai_ti_gb2312" w:cs="kai_ti_gb2312"/>
          <w:b/>
          <w:bCs/>
          <w:kern w:val="0"/>
          <w:sz w:val="27"/>
          <w:szCs w:val="27"/>
        </w:rPr>
        <w:t>项目绩效评价结果。</w:t>
      </w:r>
    </w:p>
    <w:p>
      <w:pPr>
        <w:pStyle w:val="3"/>
        <w:keepNext w:val="0"/>
        <w:keepLines w:val="0"/>
        <w:widowControl/>
        <w:spacing w:before="299" w:after="299" w:line="240" w:lineRule="auto"/>
        <w:ind w:firstLine="542" w:firstLineChars="200"/>
        <w:jc w:val="left"/>
        <w:rPr>
          <w:rFonts w:hint="eastAsia" w:ascii="Times New Roman" w:hAnsi="Times New Roman" w:eastAsia="宋体" w:cs="Times New Roman"/>
          <w:kern w:val="0"/>
          <w:sz w:val="24"/>
          <w:lang w:eastAsia="zh-CN"/>
        </w:rPr>
      </w:pPr>
      <w:r>
        <w:rPr>
          <w:rFonts w:ascii="仿宋_GB2312" w:hAnsi="仿宋_GB2312" w:eastAsia="仿宋_GB2312" w:cs="仿宋_GB2312"/>
          <w:kern w:val="0"/>
          <w:sz w:val="27"/>
          <w:szCs w:val="27"/>
        </w:rPr>
        <w:t>   </w:t>
      </w:r>
      <w:r>
        <w:rPr>
          <w:rFonts w:hint="eastAsia" w:ascii="仿宋_GB2312" w:hAnsi="仿宋_GB2312" w:eastAsia="仿宋_GB2312" w:cs="仿宋_GB2312"/>
          <w:b w:val="0"/>
          <w:bCs w:val="0"/>
          <w:kern w:val="0"/>
          <w:sz w:val="30"/>
          <w:szCs w:val="30"/>
          <w:lang w:val="en-US" w:eastAsia="zh-CN" w:bidi="ar-SA"/>
        </w:rPr>
        <w:t>本单位2024年未开展重点项目绩效评价。</w:t>
      </w:r>
    </w:p>
    <w:p>
      <w:pPr>
        <w:pStyle w:val="3"/>
        <w:keepNext w:val="0"/>
        <w:keepLines w:val="0"/>
        <w:widowControl/>
        <w:numPr>
          <w:ilvl w:val="0"/>
          <w:numId w:val="5"/>
        </w:numPr>
        <w:spacing w:before="299" w:after="299" w:line="240" w:lineRule="auto"/>
        <w:jc w:val="center"/>
        <w:rPr>
          <w:rFonts w:ascii="fang_zheng_xiao_biao_song_ti" w:hAnsi="fang_zheng_xiao_biao_song_ti" w:eastAsia="fang_zheng_xiao_biao_song_ti" w:cs="fang_zheng_xiao_biao_song_ti"/>
          <w:kern w:val="0"/>
          <w:sz w:val="36"/>
          <w:szCs w:val="36"/>
        </w:rPr>
      </w:pPr>
      <w:r>
        <w:rPr>
          <w:rFonts w:ascii="fang_zheng_xiao_biao_song_ti" w:hAnsi="fang_zheng_xiao_biao_song_ti" w:eastAsia="fang_zheng_xiao_biao_song_ti" w:cs="fang_zheng_xiao_biao_song_ti"/>
          <w:kern w:val="0"/>
          <w:sz w:val="36"/>
          <w:szCs w:val="36"/>
        </w:rPr>
        <w:t>名词解释</w:t>
      </w:r>
    </w:p>
    <w:p>
      <w:pPr>
        <w:numPr>
          <w:ilvl w:val="0"/>
          <w:numId w:val="0"/>
        </w:numPr>
      </w:pP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一、财政拨款收入：</w:t>
      </w:r>
      <w:r>
        <w:rPr>
          <w:rFonts w:ascii="仿宋_GB2312" w:hAnsi="仿宋_GB2312" w:eastAsia="仿宋_GB2312" w:cs="仿宋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二、上级补助收入：</w:t>
      </w:r>
      <w:r>
        <w:rPr>
          <w:rFonts w:ascii="仿宋_GB2312" w:hAnsi="仿宋_GB2312" w:eastAsia="仿宋_GB2312" w:cs="仿宋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三、财政专户管理教育收费：</w:t>
      </w:r>
      <w:r>
        <w:rPr>
          <w:rFonts w:ascii="仿宋_GB2312" w:hAnsi="仿宋_GB2312" w:eastAsia="仿宋_GB2312" w:cs="仿宋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四、事业收入：</w:t>
      </w:r>
      <w:r>
        <w:rPr>
          <w:rFonts w:ascii="仿宋_GB2312" w:hAnsi="仿宋_GB2312" w:eastAsia="仿宋_GB2312" w:cs="仿宋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五、经营收入：</w:t>
      </w:r>
      <w:r>
        <w:rPr>
          <w:rFonts w:ascii="仿宋_GB2312" w:hAnsi="仿宋_GB2312" w:eastAsia="仿宋_GB2312" w:cs="仿宋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六、附属单位上缴收入：</w:t>
      </w:r>
      <w:r>
        <w:rPr>
          <w:rFonts w:ascii="仿宋_GB2312" w:hAnsi="仿宋_GB2312" w:eastAsia="仿宋_GB2312" w:cs="仿宋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七、其他收入：</w:t>
      </w:r>
      <w:r>
        <w:rPr>
          <w:rFonts w:ascii="仿宋_GB2312" w:hAnsi="仿宋_GB2312" w:eastAsia="仿宋_GB2312" w:cs="仿宋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八、使用非财政拨款结余（含专用结余）：</w:t>
      </w:r>
      <w:r>
        <w:rPr>
          <w:rFonts w:ascii="仿宋_GB2312" w:hAnsi="仿宋_GB2312" w:eastAsia="仿宋_GB2312" w:cs="仿宋_GB2312"/>
          <w:kern w:val="0"/>
          <w:sz w:val="27"/>
          <w:szCs w:val="27"/>
        </w:rPr>
        <w:t>指事业单位按照预算管理要求使用非财政拨款结余</w:t>
      </w:r>
      <w:r>
        <w:rPr>
          <w:rFonts w:ascii="仿宋_GB2312" w:hAnsi="仿宋_GB2312" w:eastAsia="仿宋_GB2312" w:cs="仿宋_GB2312"/>
          <w:color w:val="000000"/>
          <w:kern w:val="0"/>
          <w:sz w:val="27"/>
          <w:szCs w:val="27"/>
        </w:rPr>
        <w:t>弥补收支差额的金额，以及使用专用结余安排支出的金额。</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九、年初结转和结余：</w:t>
      </w:r>
      <w:r>
        <w:rPr>
          <w:rFonts w:ascii="仿宋_GB2312" w:hAnsi="仿宋_GB2312" w:eastAsia="仿宋_GB2312" w:cs="仿宋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十、结余分配：</w:t>
      </w:r>
      <w:r>
        <w:rPr>
          <w:rFonts w:ascii="仿宋_GB2312" w:hAnsi="仿宋_GB2312" w:eastAsia="仿宋_GB2312" w:cs="仿宋_GB2312"/>
          <w:kern w:val="0"/>
          <w:sz w:val="27"/>
          <w:szCs w:val="27"/>
        </w:rPr>
        <w:t>指单位按规定缴纳企业所得税以及从非财政拨款结余或经营结余中提取各类结余的情况。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十一、年末结转和结余资金：</w:t>
      </w:r>
      <w:r>
        <w:rPr>
          <w:rFonts w:ascii="仿宋_GB2312" w:hAnsi="仿宋_GB2312" w:eastAsia="仿宋_GB2312" w:cs="仿宋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十二、基本支出：</w:t>
      </w:r>
      <w:r>
        <w:rPr>
          <w:rFonts w:ascii="仿宋_GB2312" w:hAnsi="仿宋_GB2312" w:eastAsia="仿宋_GB2312" w:cs="仿宋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十三、项目支出：</w:t>
      </w:r>
      <w:r>
        <w:rPr>
          <w:rFonts w:ascii="仿宋_GB2312" w:hAnsi="仿宋_GB2312" w:eastAsia="仿宋_GB2312" w:cs="仿宋_GB2312"/>
          <w:kern w:val="0"/>
          <w:sz w:val="27"/>
          <w:szCs w:val="27"/>
        </w:rPr>
        <w:t>指在为完成特定的行政工作任务或事业发展目标所发生的支出。</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十四、上缴上级支出：</w:t>
      </w:r>
      <w:r>
        <w:rPr>
          <w:rFonts w:ascii="仿宋_GB2312" w:hAnsi="仿宋_GB2312" w:eastAsia="仿宋_GB2312" w:cs="仿宋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十五、经营支出：</w:t>
      </w:r>
      <w:r>
        <w:rPr>
          <w:rFonts w:ascii="仿宋_GB2312" w:hAnsi="仿宋_GB2312" w:eastAsia="仿宋_GB2312" w:cs="仿宋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十六、对附属单位补助支出：</w:t>
      </w:r>
      <w:r>
        <w:rPr>
          <w:rFonts w:ascii="仿宋_GB2312" w:hAnsi="仿宋_GB2312" w:eastAsia="仿宋_GB2312" w:cs="仿宋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十七、“三公”经费：</w:t>
      </w:r>
      <w:r>
        <w:rPr>
          <w:rFonts w:ascii="仿宋_GB2312" w:hAnsi="仿宋_GB2312" w:eastAsia="仿宋_GB2312" w:cs="仿宋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b/>
          <w:bCs/>
          <w:kern w:val="0"/>
          <w:sz w:val="27"/>
          <w:szCs w:val="27"/>
        </w:rPr>
        <w:t>    十八、机关运行经费：</w:t>
      </w:r>
      <w:r>
        <w:rPr>
          <w:rFonts w:ascii="仿宋_GB2312" w:hAnsi="仿宋_GB2312" w:eastAsia="仿宋_GB2312" w:cs="仿宋_GB2312"/>
          <w:color w:val="000000"/>
          <w:kern w:val="0"/>
          <w:sz w:val="27"/>
          <w:szCs w:val="27"/>
        </w:rPr>
        <w:t>指行政单位和参照公务员法管理的事业单位财政拨款</w:t>
      </w:r>
      <w:r>
        <w:rPr>
          <w:rFonts w:ascii="仿宋_GB2312" w:hAnsi="仿宋_GB2312" w:eastAsia="仿宋_GB2312" w:cs="仿宋_GB2312"/>
          <w:kern w:val="0"/>
          <w:sz w:val="27"/>
          <w:szCs w:val="27"/>
        </w:rPr>
        <w:t>基本支出中的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r>
        <w:rPr>
          <w:rFonts w:ascii="仿宋_GB2312" w:hAnsi="仿宋_GB2312" w:eastAsia="仿宋_GB2312" w:cs="仿宋_GB2312"/>
          <w:color w:val="0E00FE"/>
          <w:kern w:val="0"/>
          <w:sz w:val="27"/>
          <w:szCs w:val="27"/>
        </w:rPr>
        <w:t xml:space="preserve">    </w:t>
      </w:r>
    </w:p>
    <w:p>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b w:val="0"/>
          <w:bCs w:val="0"/>
          <w:kern w:val="0"/>
          <w:sz w:val="30"/>
          <w:szCs w:val="30"/>
          <w:u w:val="none"/>
        </w:rPr>
      </w:pPr>
      <w:r>
        <w:rPr>
          <w:rFonts w:ascii="仿宋_GB2312" w:hAnsi="仿宋_GB2312" w:eastAsia="仿宋_GB2312" w:cs="仿宋_GB2312"/>
          <w:kern w:val="0"/>
          <w:sz w:val="27"/>
          <w:szCs w:val="27"/>
        </w:rPr>
        <w:t>   </w:t>
      </w:r>
      <w:r>
        <w:rPr>
          <w:rFonts w:hint="eastAsia" w:ascii="仿宋_GB2312" w:hAnsi="仿宋_GB2312" w:eastAsia="仿宋_GB2312" w:cs="仿宋_GB2312"/>
          <w:kern w:val="0"/>
          <w:sz w:val="27"/>
          <w:szCs w:val="27"/>
          <w:lang w:val="en-US" w:eastAsia="zh-CN"/>
        </w:rPr>
        <w:t xml:space="preserve">  </w:t>
      </w:r>
      <w:r>
        <w:rPr>
          <w:rFonts w:ascii="仿宋_GB2312" w:hAnsi="仿宋_GB2312" w:eastAsia="仿宋_GB2312" w:cs="仿宋_GB2312"/>
          <w:kern w:val="0"/>
          <w:sz w:val="27"/>
          <w:szCs w:val="27"/>
        </w:rPr>
        <w:t xml:space="preserve"> </w:t>
      </w:r>
      <w:r>
        <w:rPr>
          <w:rFonts w:ascii="仿宋_GB2312" w:hAnsi="仿宋_GB2312" w:eastAsia="仿宋_GB2312" w:cs="仿宋_GB2312"/>
          <w:b w:val="0"/>
          <w:bCs w:val="0"/>
          <w:kern w:val="0"/>
          <w:sz w:val="30"/>
          <w:szCs w:val="30"/>
          <w:u w:val="none"/>
        </w:rPr>
        <w:t>本单位决算公开信息反馈和联系方式：</w:t>
      </w:r>
    </w:p>
    <w:p>
      <w:pPr>
        <w:widowControl/>
        <w:spacing w:before="240" w:after="240"/>
        <w:jc w:val="left"/>
        <w:rPr>
          <w:rFonts w:ascii="Times New Roman" w:hAnsi="Times New Roman" w:eastAsia="Times New Roman" w:cs="Times New Roman"/>
          <w:b w:val="0"/>
          <w:bCs w:val="0"/>
          <w:kern w:val="0"/>
          <w:sz w:val="30"/>
          <w:szCs w:val="30"/>
          <w:u w:val="none"/>
        </w:rPr>
      </w:pPr>
      <w:r>
        <w:rPr>
          <w:rFonts w:ascii="仿宋_GB2312" w:hAnsi="仿宋_GB2312" w:eastAsia="仿宋_GB2312" w:cs="仿宋_GB2312"/>
          <w:b w:val="0"/>
          <w:bCs w:val="0"/>
          <w:kern w:val="0"/>
          <w:sz w:val="30"/>
          <w:szCs w:val="30"/>
          <w:u w:val="none"/>
        </w:rPr>
        <w:t xml:space="preserve">  </w:t>
      </w:r>
      <w:r>
        <w:rPr>
          <w:rFonts w:hint="eastAsia" w:ascii="仿宋_GB2312" w:hAnsi="仿宋_GB2312" w:eastAsia="仿宋_GB2312" w:cs="仿宋_GB2312"/>
          <w:b w:val="0"/>
          <w:bCs w:val="0"/>
          <w:kern w:val="0"/>
          <w:sz w:val="30"/>
          <w:szCs w:val="30"/>
          <w:u w:val="none"/>
          <w:lang w:val="en-US" w:eastAsia="zh-CN"/>
        </w:rPr>
        <w:t xml:space="preserve">  </w:t>
      </w:r>
      <w:r>
        <w:rPr>
          <w:rFonts w:ascii="仿宋_GB2312" w:hAnsi="仿宋_GB2312" w:eastAsia="仿宋_GB2312" w:cs="仿宋_GB2312"/>
          <w:b w:val="0"/>
          <w:bCs w:val="0"/>
          <w:kern w:val="0"/>
          <w:sz w:val="30"/>
          <w:szCs w:val="30"/>
          <w:u w:val="none"/>
        </w:rPr>
        <w:t>  联系人：高卓薇           联系电话：0473-6992081</w:t>
      </w:r>
    </w:p>
    <w:p>
      <w:pPr>
        <w:widowControl/>
        <w:spacing w:before="240" w:after="240"/>
        <w:jc w:val="left"/>
        <w:rPr>
          <w:rFonts w:ascii="Times New Roman" w:hAnsi="Times New Roman" w:eastAsia="Times New Roman" w:cs="Times New Roman"/>
          <w:kern w:val="0"/>
          <w:sz w:val="24"/>
        </w:rPr>
      </w:pPr>
    </w:p>
    <w:p>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30"/>
          <w:szCs w:val="30"/>
        </w:rPr>
      </w:pPr>
      <w:r>
        <w:rPr>
          <w:rFonts w:ascii="仿宋_GB2312" w:hAnsi="仿宋_GB2312" w:eastAsia="仿宋_GB2312" w:cs="仿宋_GB2312"/>
          <w:kern w:val="0"/>
          <w:sz w:val="30"/>
          <w:szCs w:val="30"/>
        </w:rPr>
        <w:t xml:space="preserve">  </w:t>
      </w:r>
      <w:r>
        <w:rPr>
          <w:rFonts w:hint="eastAsia" w:ascii="仿宋_GB2312" w:hAnsi="仿宋_GB2312" w:eastAsia="仿宋_GB2312" w:cs="仿宋_GB2312"/>
          <w:kern w:val="0"/>
          <w:sz w:val="30"/>
          <w:szCs w:val="30"/>
          <w:lang w:val="en-US" w:eastAsia="zh-CN"/>
        </w:rPr>
        <w:t xml:space="preserve">  </w:t>
      </w:r>
      <w:r>
        <w:rPr>
          <w:rFonts w:ascii="仿宋_GB2312" w:hAnsi="仿宋_GB2312" w:eastAsia="仿宋_GB2312" w:cs="仿宋_GB2312"/>
          <w:kern w:val="0"/>
          <w:sz w:val="30"/>
          <w:szCs w:val="30"/>
        </w:rPr>
        <w:t>  见附件。</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_new_roman">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25</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4BC4"/>
    <w:multiLevelType w:val="singleLevel"/>
    <w:tmpl w:val="834D4BC4"/>
    <w:lvl w:ilvl="0" w:tentative="0">
      <w:start w:val="10"/>
      <w:numFmt w:val="chineseCounting"/>
      <w:suff w:val="nothing"/>
      <w:lvlText w:val="%1、"/>
      <w:lvlJc w:val="left"/>
      <w:pPr>
        <w:ind w:left="393" w:leftChars="0" w:firstLine="0" w:firstLineChars="0"/>
      </w:pPr>
      <w:rPr>
        <w:rFonts w:hint="eastAsia"/>
      </w:rPr>
    </w:lvl>
  </w:abstractNum>
  <w:abstractNum w:abstractNumId="1">
    <w:nsid w:val="D524E16B"/>
    <w:multiLevelType w:val="singleLevel"/>
    <w:tmpl w:val="D524E16B"/>
    <w:lvl w:ilvl="0" w:tentative="0">
      <w:start w:val="6"/>
      <w:numFmt w:val="chineseCounting"/>
      <w:suff w:val="nothing"/>
      <w:lvlText w:val="%1、"/>
      <w:lvlJc w:val="left"/>
      <w:pPr>
        <w:ind w:left="393" w:leftChars="0" w:firstLine="0" w:firstLineChars="0"/>
      </w:pPr>
      <w:rPr>
        <w:rFonts w:hint="eastAsia"/>
      </w:rPr>
    </w:lvl>
  </w:abstractNum>
  <w:abstractNum w:abstractNumId="2">
    <w:nsid w:val="1B250490"/>
    <w:multiLevelType w:val="singleLevel"/>
    <w:tmpl w:val="1B250490"/>
    <w:lvl w:ilvl="0" w:tentative="0">
      <w:start w:val="3"/>
      <w:numFmt w:val="chineseCounting"/>
      <w:suff w:val="space"/>
      <w:lvlText w:val="第%1部分"/>
      <w:lvlJc w:val="left"/>
      <w:rPr>
        <w:rFonts w:hint="eastAsia"/>
      </w:rPr>
    </w:lvl>
  </w:abstractNum>
  <w:abstractNum w:abstractNumId="3">
    <w:nsid w:val="238B63EA"/>
    <w:multiLevelType w:val="singleLevel"/>
    <w:tmpl w:val="238B63EA"/>
    <w:lvl w:ilvl="0" w:tentative="0">
      <w:start w:val="1"/>
      <w:numFmt w:val="chineseCounting"/>
      <w:suff w:val="space"/>
      <w:lvlText w:val="第%1部分"/>
      <w:lvlJc w:val="left"/>
      <w:rPr>
        <w:rFonts w:hint="eastAsia"/>
      </w:rPr>
    </w:lvl>
  </w:abstractNum>
  <w:abstractNum w:abstractNumId="4">
    <w:nsid w:val="5744099D"/>
    <w:multiLevelType w:val="singleLevel"/>
    <w:tmpl w:val="5744099D"/>
    <w:lvl w:ilvl="0" w:tentative="0">
      <w:start w:val="2"/>
      <w:numFmt w:val="chineseCounting"/>
      <w:suff w:val="space"/>
      <w:lvlText w:val="第%1部分"/>
      <w:lvlJc w:val="left"/>
      <w:rPr>
        <w:rFonts w:hint="eastAsia"/>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37F90"/>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30CE0"/>
    <w:rsid w:val="00E3602E"/>
    <w:rsid w:val="00E60D6A"/>
    <w:rsid w:val="00E73321"/>
    <w:rsid w:val="00E77EC0"/>
    <w:rsid w:val="00E914C1"/>
    <w:rsid w:val="00E97C37"/>
    <w:rsid w:val="00EE533B"/>
    <w:rsid w:val="00F03A2B"/>
    <w:rsid w:val="00F04882"/>
    <w:rsid w:val="00F63327"/>
    <w:rsid w:val="00F80A29"/>
    <w:rsid w:val="00FA7CA5"/>
    <w:rsid w:val="00FD08EC"/>
    <w:rsid w:val="00FD7690"/>
    <w:rsid w:val="072D39DD"/>
    <w:rsid w:val="09293A82"/>
    <w:rsid w:val="09D174AA"/>
    <w:rsid w:val="10B565DE"/>
    <w:rsid w:val="1E866834"/>
    <w:rsid w:val="23D3559C"/>
    <w:rsid w:val="24C53C6A"/>
    <w:rsid w:val="26254B06"/>
    <w:rsid w:val="39EF13EF"/>
    <w:rsid w:val="429F0A35"/>
    <w:rsid w:val="48DB048D"/>
    <w:rsid w:val="4A617DA2"/>
    <w:rsid w:val="4A66780E"/>
    <w:rsid w:val="4B80664A"/>
    <w:rsid w:val="4B94518B"/>
    <w:rsid w:val="51CD438B"/>
    <w:rsid w:val="570A5F9A"/>
    <w:rsid w:val="58FE5AED"/>
    <w:rsid w:val="65633328"/>
    <w:rsid w:val="6DF12A38"/>
    <w:rsid w:val="6E7D2235"/>
    <w:rsid w:val="6F735C27"/>
    <w:rsid w:val="7C9E7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Cambria" w:hAnsi="Cambria"/>
      <w:b/>
      <w:bCs/>
      <w:sz w:val="28"/>
      <w:szCs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Body Text"/>
    <w:basedOn w:val="1"/>
    <w:next w:val="1"/>
    <w:unhideWhenUsed/>
    <w:qFormat/>
    <w:uiPriority w:val="0"/>
    <w:pPr>
      <w:widowControl/>
      <w:adjustRightInd w:val="0"/>
      <w:snapToGrid w:val="0"/>
      <w:spacing w:line="360" w:lineRule="auto"/>
    </w:pPr>
    <w:rPr>
      <w:rFonts w:ascii="仿宋_GB2312" w:hAnsi="宋体" w:eastAsia="仿宋_GB2312"/>
      <w:kern w:val="0"/>
      <w:sz w:val="28"/>
    </w:rPr>
  </w:style>
  <w:style w:type="paragraph" w:styleId="9">
    <w:name w:val="toc 5"/>
    <w:basedOn w:val="1"/>
    <w:next w:val="1"/>
    <w:qFormat/>
    <w:uiPriority w:val="0"/>
    <w:pPr>
      <w:ind w:left="840"/>
      <w:jc w:val="left"/>
    </w:pPr>
    <w:rPr>
      <w:sz w:val="20"/>
      <w:szCs w:val="20"/>
    </w:rPr>
  </w:style>
  <w:style w:type="paragraph" w:styleId="10">
    <w:name w:val="toc 3"/>
    <w:basedOn w:val="1"/>
    <w:next w:val="1"/>
    <w:qFormat/>
    <w:uiPriority w:val="0"/>
    <w:pPr>
      <w:adjustRightInd w:val="0"/>
      <w:snapToGrid w:val="0"/>
      <w:spacing w:line="360" w:lineRule="auto"/>
      <w:ind w:firstLine="400" w:firstLineChars="400"/>
      <w:jc w:val="left"/>
    </w:pPr>
    <w:rPr>
      <w:sz w:val="24"/>
      <w:szCs w:val="20"/>
    </w:rPr>
  </w:style>
  <w:style w:type="paragraph" w:styleId="11">
    <w:name w:val="toc 8"/>
    <w:basedOn w:val="1"/>
    <w:next w:val="1"/>
    <w:qFormat/>
    <w:uiPriority w:val="0"/>
    <w:pPr>
      <w:ind w:left="1470"/>
      <w:jc w:val="left"/>
    </w:pPr>
    <w:rPr>
      <w:sz w:val="20"/>
      <w:szCs w:val="20"/>
    </w:rPr>
  </w:style>
  <w:style w:type="paragraph" w:styleId="12">
    <w:name w:val="footer"/>
    <w:basedOn w:val="1"/>
    <w:link w:val="26"/>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adjustRightInd w:val="0"/>
      <w:snapToGrid w:val="0"/>
      <w:spacing w:line="360" w:lineRule="auto"/>
      <w:jc w:val="left"/>
    </w:pPr>
    <w:rPr>
      <w:b/>
      <w:bCs/>
      <w:sz w:val="24"/>
      <w:szCs w:val="20"/>
    </w:rPr>
  </w:style>
  <w:style w:type="paragraph" w:styleId="15">
    <w:name w:val="toc 4"/>
    <w:basedOn w:val="1"/>
    <w:next w:val="1"/>
    <w:qFormat/>
    <w:uiPriority w:val="0"/>
    <w:pPr>
      <w:ind w:left="630"/>
      <w:jc w:val="left"/>
    </w:pPr>
    <w:rPr>
      <w:sz w:val="20"/>
      <w:szCs w:val="20"/>
    </w:rPr>
  </w:style>
  <w:style w:type="paragraph" w:styleId="16">
    <w:name w:val="toc 6"/>
    <w:basedOn w:val="1"/>
    <w:next w:val="1"/>
    <w:qFormat/>
    <w:uiPriority w:val="0"/>
    <w:pPr>
      <w:ind w:left="1050"/>
      <w:jc w:val="left"/>
    </w:pPr>
    <w:rPr>
      <w:sz w:val="20"/>
      <w:szCs w:val="20"/>
    </w:rPr>
  </w:style>
  <w:style w:type="paragraph" w:styleId="17">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8">
    <w:name w:val="toc 9"/>
    <w:basedOn w:val="1"/>
    <w:next w:val="1"/>
    <w:qFormat/>
    <w:uiPriority w:val="0"/>
    <w:pPr>
      <w:ind w:left="1680"/>
      <w:jc w:val="left"/>
    </w:pPr>
    <w:rPr>
      <w:sz w:val="20"/>
      <w:szCs w:val="20"/>
    </w:rPr>
  </w:style>
  <w:style w:type="character" w:styleId="21">
    <w:name w:val="page number"/>
    <w:basedOn w:val="20"/>
    <w:qFormat/>
    <w:uiPriority w:val="0"/>
  </w:style>
  <w:style w:type="character" w:styleId="22">
    <w:name w:val="Hyperlink"/>
    <w:basedOn w:val="20"/>
    <w:qFormat/>
    <w:uiPriority w:val="0"/>
    <w:rPr>
      <w:color w:val="0000FF"/>
      <w:u w:val="single"/>
    </w:rPr>
  </w:style>
  <w:style w:type="character" w:customStyle="1" w:styleId="23">
    <w:name w:val="标题 4 Char"/>
    <w:basedOn w:val="20"/>
    <w:link w:val="5"/>
    <w:qFormat/>
    <w:uiPriority w:val="0"/>
    <w:rPr>
      <w:rFonts w:ascii="Cambria" w:hAnsi="Cambria"/>
      <w:b/>
      <w:bCs/>
      <w:kern w:val="2"/>
      <w:sz w:val="28"/>
      <w:szCs w:val="28"/>
    </w:rPr>
  </w:style>
  <w:style w:type="paragraph" w:styleId="24">
    <w:name w:val="No Spacing"/>
    <w:link w:val="25"/>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5">
    <w:name w:val="无间隔 Char"/>
    <w:link w:val="24"/>
    <w:qFormat/>
    <w:locked/>
    <w:uiPriority w:val="0"/>
    <w:rPr>
      <w:rFonts w:eastAsia="仿宋_GB2312"/>
      <w:sz w:val="30"/>
      <w:szCs w:val="22"/>
      <w:lang w:bidi="ar-SA"/>
    </w:rPr>
  </w:style>
  <w:style w:type="character" w:customStyle="1" w:styleId="26">
    <w:name w:val="页脚 Char"/>
    <w:basedOn w:val="20"/>
    <w:link w:val="12"/>
    <w:qFormat/>
    <w:uiPriority w:val="0"/>
    <w:rPr>
      <w:kern w:val="2"/>
      <w:sz w:val="18"/>
      <w:szCs w:val="18"/>
    </w:rPr>
  </w:style>
  <w:style w:type="paragraph" w:styleId="27">
    <w:name w:val="List Paragraph"/>
    <w:basedOn w:val="1"/>
    <w:qFormat/>
    <w:uiPriority w:val="0"/>
    <w:pPr>
      <w:ind w:firstLine="420" w:firstLineChars="200"/>
    </w:pPr>
  </w:style>
  <w:style w:type="character" w:customStyle="1" w:styleId="28">
    <w:name w:val="标题 3 Char"/>
    <w:basedOn w:val="20"/>
    <w:link w:val="4"/>
    <w:qFormat/>
    <w:uiPriority w:val="0"/>
    <w:rPr>
      <w:b/>
      <w:bCs/>
      <w:kern w:val="2"/>
      <w:sz w:val="32"/>
      <w:szCs w:val="32"/>
    </w:rPr>
  </w:style>
  <w:style w:type="paragraph" w:customStyle="1" w:styleId="29">
    <w:name w:val="MsoNormal"/>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收入决算图</c:v>
                </c:pt>
              </c:strCache>
            </c:strRef>
          </c:tx>
          <c:spPr/>
          <c:explosion val="0"/>
          <c:dPt>
            <c:idx val="0"/>
            <c:bubble3D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dPt>
          <c:dPt>
            <c:idx val="2"/>
            <c:bubble3D val="0"/>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dPt>
          <c:dPt>
            <c:idx val="3"/>
            <c:bubble3D val="0"/>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c:spPr>
          </c:dPt>
          <c:dPt>
            <c:idx val="4"/>
            <c:bubble3D val="0"/>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chemeClr>
                </a:solidFill>
                <a:round/>
              </a:ln>
              <a:effectLst>
                <a:outerShdw blurRad="40000" dist="20000" dir="5400000" rotWithShape="0">
                  <a:srgbClr val="000000">
                    <a:alpha val="38000"/>
                  </a:srgbClr>
                </a:outerShdw>
              </a:effectLst>
            </c:spPr>
          </c:dPt>
          <c:dPt>
            <c:idx val="5"/>
            <c:bubble3D val="0"/>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chemeClr>
                </a:solidFill>
                <a:round/>
              </a:ln>
              <a:effectLst>
                <a:outerShdw blurRad="40000" dist="20000" dir="5400000" rotWithShape="0">
                  <a:srgbClr val="000000">
                    <a:alpha val="38000"/>
                  </a:srgbClr>
                </a:outerShdw>
              </a:effectLst>
            </c:spPr>
          </c:dPt>
          <c:dPt>
            <c:idx val="6"/>
            <c:bubble3D val="0"/>
            <c:spPr>
              <a:gradFill rotWithShape="1">
                <a:gsLst>
                  <a:gs pos="0">
                    <a:schemeClr val="accent1">
                      <a:lumMod val="60000"/>
                      <a:tint val="50000"/>
                      <a:satMod val="300000"/>
                    </a:schemeClr>
                  </a:gs>
                  <a:gs pos="35000">
                    <a:schemeClr val="accent1">
                      <a:lumMod val="60000"/>
                      <a:tint val="37000"/>
                      <a:satMod val="300000"/>
                    </a:schemeClr>
                  </a:gs>
                  <a:gs pos="100000">
                    <a:schemeClr val="accent1">
                      <a:lumMod val="60000"/>
                      <a:tint val="15000"/>
                      <a:satMod val="350000"/>
                    </a:schemeClr>
                  </a:gs>
                </a:gsLst>
                <a:lin ang="16200000" scaled="1"/>
              </a:gradFill>
              <a:ln w="9525" cap="flat" cmpd="sng" algn="ctr">
                <a:solidFill>
                  <a:schemeClr val="accent1">
                    <a:lumMod val="60000"/>
                    <a:shade val="95000"/>
                  </a:schemeClr>
                </a:solidFill>
                <a:round/>
              </a:ln>
              <a:effectLst>
                <a:outerShdw blurRad="40000" dist="20000" dir="5400000" rotWithShape="0">
                  <a:srgbClr val="000000">
                    <a:alpha val="38000"/>
                  </a:srgbClr>
                </a:outerShdw>
              </a:effectLst>
            </c:spPr>
          </c:dPt>
          <c:dPt>
            <c:idx val="7"/>
            <c:bubble3D val="0"/>
            <c:spPr>
              <a:gradFill rotWithShape="1">
                <a:gsLst>
                  <a:gs pos="0">
                    <a:schemeClr val="accent2">
                      <a:lumMod val="60000"/>
                      <a:tint val="50000"/>
                      <a:satMod val="300000"/>
                    </a:schemeClr>
                  </a:gs>
                  <a:gs pos="35000">
                    <a:schemeClr val="accent2">
                      <a:lumMod val="60000"/>
                      <a:tint val="37000"/>
                      <a:satMod val="300000"/>
                    </a:schemeClr>
                  </a:gs>
                  <a:gs pos="100000">
                    <a:schemeClr val="accent2">
                      <a:lumMod val="60000"/>
                      <a:tint val="15000"/>
                      <a:satMod val="350000"/>
                    </a:schemeClr>
                  </a:gs>
                </a:gsLst>
                <a:lin ang="16200000" scaled="1"/>
              </a:gradFill>
              <a:ln w="9525" cap="flat" cmpd="sng" algn="ctr">
                <a:solidFill>
                  <a:schemeClr val="accent2">
                    <a:lumMod val="60000"/>
                    <a:shade val="95000"/>
                  </a:schemeClr>
                </a:solidFill>
                <a:round/>
              </a:ln>
              <a:effectLst>
                <a:outerShdw blurRad="40000" dist="20000" dir="5400000" rotWithShape="0">
                  <a:srgbClr val="000000">
                    <a:alpha val="38000"/>
                  </a:srgbClr>
                </a:outerShdw>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1</a:t>
                    </a:r>
                    <a:r>
                      <a:rPr lang="en-US" altLang="zh-CN"/>
                      <a:t>48.38</a:t>
                    </a:r>
                    <a:r>
                      <a:t>万元, </a:t>
                    </a:r>
                    <a:r>
                      <a:rPr lang="en-US" altLang="zh-CN"/>
                      <a:t>99.96</a:t>
                    </a:r>
                    <a:r>
                      <a:t>%</a:t>
                    </a:r>
                  </a:p>
                </c:rich>
              </c:tx>
              <c:numFmt formatCode="#,##0.00_);[Red]\(#,##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65000"/>
                          <a:lumOff val="35000"/>
                        </a:schemeClr>
                      </a:solidFill>
                      <a:latin typeface="+mn-lt"/>
                      <a:ea typeface="+mn-ea"/>
                      <a:cs typeface="+mn-cs"/>
                    </a:defRPr>
                  </a:pPr>
                </a:p>
              </c:txPr>
              <c:dLblPos val="inEnd"/>
              <c:showLegendKey val="0"/>
              <c:showVal val="1"/>
              <c:showCatName val="0"/>
              <c:showSerName val="0"/>
              <c:showPercent val="1"/>
              <c:showBubbleSize val="0"/>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0万元, 0%</a:t>
                    </a:r>
                  </a:p>
                </c:rich>
              </c:tx>
              <c:dLblPos val="inEnd"/>
              <c:showLegendKey val="0"/>
              <c:showVal val="1"/>
              <c:showCatName val="0"/>
              <c:showSerName val="0"/>
              <c:showPercent val="1"/>
              <c:showBubbleSize val="0"/>
              <c:extLst>
                <c:ext xmlns:c15="http://schemas.microsoft.com/office/drawing/2012/chart" uri="{CE6537A1-D6FC-4f65-9D91-7224C49458BB}"/>
              </c:extLst>
            </c:dLbl>
            <c:dLbl>
              <c:idx val="4"/>
              <c:layout>
                <c:manualLayout>
                  <c:x val="0.0203798921613563"/>
                  <c:y val="0.15653096653166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0万元, 0%</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dLbl>
              <c:idx val="5"/>
              <c:delete val="1"/>
            </c:dLbl>
            <c:dLbl>
              <c:idx val="6"/>
              <c:delete val="1"/>
            </c:dLbl>
            <c:dLbl>
              <c:idx val="7"/>
              <c:layout>
                <c:manualLayout>
                  <c:x val="-0.044072759586266"/>
                  <c:y val="0.290115401483745"/>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0.0</a:t>
                    </a:r>
                    <a:r>
                      <a:rPr lang="en-US" altLang="zh-CN"/>
                      <a:t>6</a:t>
                    </a:r>
                    <a:r>
                      <a:t>万元, 0</a:t>
                    </a:r>
                    <a:r>
                      <a:rPr lang="en-US" altLang="zh-CN"/>
                      <a:t>.04</a:t>
                    </a:r>
                    <a:r>
                      <a:t>%</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65000"/>
                        <a:lumOff val="35000"/>
                      </a:schemeClr>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Sheet1!$A$2:$A$9</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Sheet1!$B$2:$B$9</c:f>
              <c:numCache>
                <c:formatCode>General</c:formatCode>
                <c:ptCount val="8"/>
                <c:pt idx="0">
                  <c:v>114</c:v>
                </c:pt>
                <c:pt idx="1">
                  <c:v>0</c:v>
                </c:pt>
                <c:pt idx="2">
                  <c:v>0</c:v>
                </c:pt>
                <c:pt idx="3">
                  <c:v>0</c:v>
                </c:pt>
                <c:pt idx="4">
                  <c:v>0</c:v>
                </c:pt>
                <c:pt idx="5">
                  <c:v>0</c:v>
                </c:pt>
                <c:pt idx="6">
                  <c:v>0</c:v>
                </c:pt>
                <c:pt idx="7">
                  <c:v>0.03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59467604218985"/>
          <c:y val="0.0617513973915358"/>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dPt>
          <c:dPt>
            <c:idx val="2"/>
            <c:bubble3D val="0"/>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dPt>
          <c:dPt>
            <c:idx val="3"/>
            <c:bubble3D val="0"/>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c:spPr>
          </c:dPt>
          <c:dPt>
            <c:idx val="4"/>
            <c:bubble3D val="0"/>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chemeClr>
                </a:solidFill>
                <a:round/>
              </a:ln>
              <a:effectLst>
                <a:outerShdw blurRad="40000" dist="20000" dir="5400000" rotWithShape="0">
                  <a:srgbClr val="000000">
                    <a:alpha val="38000"/>
                  </a:srgbClr>
                </a:outerShdw>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1</a:t>
                    </a:r>
                    <a:r>
                      <a:rPr lang="en-US" altLang="zh-CN"/>
                      <a:t>44.58</a:t>
                    </a:r>
                    <a:r>
                      <a:t>万元, 94</a:t>
                    </a:r>
                    <a:r>
                      <a:rPr lang="en-US" altLang="zh-CN"/>
                      <a:t>.34</a:t>
                    </a:r>
                    <a:r>
                      <a:t>%</a:t>
                    </a:r>
                  </a:p>
                </c:rich>
              </c:tx>
              <c:dLblPos val="inEnd"/>
              <c:showLegendKey val="0"/>
              <c:showVal val="1"/>
              <c:showCatName val="0"/>
              <c:showSerName val="0"/>
              <c:showPercent val="1"/>
              <c:showBubbleSize val="0"/>
              <c:extLst>
                <c:ext xmlns:c15="http://schemas.microsoft.com/office/drawing/2012/chart" uri="{CE6537A1-D6FC-4f65-9D91-7224C49458BB}"/>
              </c:extLst>
            </c:dLbl>
            <c:dLbl>
              <c:idx val="1"/>
              <c:layout>
                <c:manualLayout>
                  <c:x val="0.0248758287229327"/>
                  <c:y val="0.231653469137851"/>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rPr lang="en-US" altLang="zh-CN"/>
                      <a:t>8.67</a:t>
                    </a:r>
                    <a:r>
                      <a:t>万元, </a:t>
                    </a:r>
                    <a:r>
                      <a:rPr lang="en-US" altLang="zh-CN"/>
                      <a:t>5.66</a:t>
                    </a:r>
                    <a:r>
                      <a:t>%</a:t>
                    </a:r>
                  </a:p>
                </c:rich>
              </c:tx>
              <c:dLblPos val="bestFit"/>
              <c:showLegendKey val="0"/>
              <c:showVal val="1"/>
              <c:showCatName val="0"/>
              <c:showSerName val="0"/>
              <c:showPercent val="1"/>
              <c:showBubbleSize val="0"/>
              <c:extLst>
                <c:ext xmlns:c15="http://schemas.microsoft.com/office/drawing/2012/chart" uri="{CE6537A1-D6FC-4f65-9D91-7224C49458BB}">
                  <c15:layout/>
                </c:ext>
              </c:extLst>
            </c:dLbl>
            <c:dLbl>
              <c:idx val="4"/>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t>0万元, 0%</a:t>
                    </a:r>
                  </a:p>
                </c:rich>
              </c:tx>
              <c:dLblPos val="inEnd"/>
              <c:showLegendKey val="0"/>
              <c:showVal val="1"/>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65000"/>
                        <a:lumOff val="35000"/>
                      </a:schemeClr>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114</c:v>
                </c:pt>
                <c:pt idx="1">
                  <c:v>7.75</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FD8714-0FA9-4C6D-A463-F07367D20AE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7</Words>
  <Characters>40</Characters>
  <Lines>1</Lines>
  <Paragraphs>1</Paragraphs>
  <TotalTime>7</TotalTime>
  <ScaleCrop>false</ScaleCrop>
  <LinksUpToDate>false</LinksUpToDate>
  <CharactersWithSpaces>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2025-10-16T07:39:00Z</dcterms:modified>
  <dc:title>××年度××部门/单位</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611238F30D8A411DBAB9B55681FC0BF8_12</vt:lpwstr>
  </property>
  <property fmtid="{D5CDD505-2E9C-101B-9397-08002B2CF9AE}" pid="3" name="KSOProductBuildVer">
    <vt:lpwstr>2052-11.1.0.9021</vt:lpwstr>
  </property>
  <property fmtid="{D5CDD505-2E9C-101B-9397-08002B2CF9AE}" pid="4" name="KSOTemplateDocerSaveRecord">
    <vt:lpwstr>eyJoZGlkIjoiN2YzNjBkOTgyNWQ1YTMxYzM3MzMwNWFiODNmOWIzYWMiLCJ1c2VySWQiOiI4MDUyMTE2MjkifQ==</vt:lpwstr>
  </property>
</Properties>
</file>